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The AAA Best Practices Database</w:t>
      </w:r>
    </w:p>
    <w:p>
      <w:pPr>
        <w:spacing w:after="80"/>
        <w:jc w:val="center"/>
      </w:pPr>
      <w:r>
        <w:rPr>
          <w:rFonts w:ascii="Times New Roman" w:cs="Times New Roman" w:eastAsia="Times New Roman" w:hAnsi="Times New Roman"/>
          <w:i/>
          <w:iCs/>
          <w:sz w:val="28"/>
          <w:szCs w:val="28"/>
        </w:rPr>
        <w:t xml:space="preserve">A Catalogue and Analysis</w:t>
      </w:r>
    </w:p>
    <w:p>
      <w:pPr>
        <w:spacing w:after="80"/>
        <w:jc w:val="center"/>
      </w:pPr>
      <w:r>
        <w:rPr>
          <w:rFonts w:ascii="Times New Roman" w:cs="Times New Roman" w:eastAsia="Times New Roman" w:hAnsi="Times New Roman"/>
          <w:sz w:val="24"/>
          <w:szCs w:val="24"/>
        </w:rPr>
        <w:t xml:space="preserve">Working Document — March 2026</w:t>
      </w:r>
    </w:p>
    <w:p>
      <w:pPr>
        <w:spacing w:after="80"/>
        <w:jc w:val="center"/>
      </w:pPr>
      <w:r>
        <w:rPr>
          <w:rFonts w:ascii="Times New Roman" w:cs="Times New Roman" w:eastAsia="Times New Roman" w:hAnsi="Times New Roman"/>
          <w:i/>
          <w:iCs/>
          <w:sz w:val="22"/>
          <w:szCs w:val="22"/>
        </w:rPr>
        <w:t xml:space="preserve">Prepared for the Accounting Horizons article “Accounting as Information Processing”</w:t>
      </w:r>
    </w:p>
    <w:p>
      <w:pPr>
        <w:spacing w:after="360"/>
        <w:jc w:val="center"/>
      </w:pPr>
      <w:r>
        <w:rPr>
          <w:rFonts w:ascii="Times New Roman" w:cs="Times New Roman" w:eastAsia="Times New Roman" w:hAnsi="Times New Roman"/>
          <w:sz w:val="22"/>
          <w:szCs w:val="22"/>
        </w:rPr>
        <w:t xml:space="preserve">Source: aaahq.org/App/Accounting-Pipeline-Best-Practices (last updated August 14, 2024)</w:t>
      </w:r>
    </w:p>
    <w:p>
      <w:pPr>
        <w:pStyle w:val="Heading1"/>
        <w:spacing w:after="180" w:before="240"/>
      </w:pPr>
      <w:r>
        <w:rPr>
          <w:rFonts w:ascii="Times New Roman" w:cs="Times New Roman" w:eastAsia="Times New Roman" w:hAnsi="Times New Roman"/>
          <w:b/>
          <w:bCs/>
          <w:sz w:val="32"/>
          <w:szCs w:val="32"/>
        </w:rPr>
        <w:t xml:space="preserve">Overview</w:t>
      </w:r>
    </w:p>
    <w:p>
      <w:pPr>
        <w:spacing w:after="200" w:line="276"/>
      </w:pPr>
      <w:r>
        <w:rPr>
          <w:rFonts w:ascii="Times New Roman" w:cs="Times New Roman" w:eastAsia="Times New Roman" w:hAnsi="Times New Roman"/>
          <w:sz w:val="24"/>
          <w:szCs w:val="24"/>
        </w:rPr>
        <w:t xml:space="preserve">The Leadership in Accounting Education Section of the American Accounting Association maintains a public database titled “Best Practices in Attracting and Retaining Accounting Majors.” As of August 2024, the database contains 45 submissions from faculty at institutions across the United States (and one from India), organized by student level and innovation type. The stated purpose is to collect and share practices that address the pipeline crisis—the widely noted decline in students choosing to major in accounting and pursue the CPA credential.</w:t>
      </w:r>
    </w:p>
    <w:p>
      <w:pPr>
        <w:spacing w:after="200" w:line="276"/>
      </w:pPr>
      <w:r>
        <w:rPr>
          <w:rFonts w:ascii="Times New Roman" w:cs="Times New Roman" w:eastAsia="Times New Roman" w:hAnsi="Times New Roman"/>
          <w:sz w:val="24"/>
          <w:szCs w:val="24"/>
        </w:rPr>
        <w:t xml:space="preserve">This document catalogues the submissions, classifies them by the type of intervention they represent, and identifies a pattern that is relevant to the argument of the Accounting Horizons article: not one of the 45 submissions questions the conceptual foundation of the introductory accounting course. The entire database operates within the existing paradigm. The debate is about execution, not about what accounting is or how it should be understood.</w:t>
      </w:r>
    </w:p>
    <w:p>
      <w:pPr>
        <w:pStyle w:val="Heading1"/>
        <w:spacing w:after="180" w:before="360"/>
      </w:pPr>
      <w:r>
        <w:rPr>
          <w:rFonts w:ascii="Times New Roman" w:cs="Times New Roman" w:eastAsia="Times New Roman" w:hAnsi="Times New Roman"/>
          <w:b/>
          <w:bCs/>
          <w:sz w:val="32"/>
          <w:szCs w:val="32"/>
        </w:rPr>
        <w:t xml:space="preserve">What the Database Contains</w:t>
      </w:r>
    </w:p>
    <w:p>
      <w:pPr>
        <w:spacing w:after="200" w:line="276"/>
      </w:pPr>
      <w:r>
        <w:rPr>
          <w:rFonts w:ascii="Times New Roman" w:cs="Times New Roman" w:eastAsia="Times New Roman" w:hAnsi="Times New Roman"/>
          <w:sz w:val="24"/>
          <w:szCs w:val="24"/>
        </w:rPr>
        <w:t xml:space="preserve">The database allows filtering by innovation type (Principles Courses, Intermediate Courses, Upper Division Courses, Classroom Activity, Experiential Learning, Student Program Success, Bootcamp, Master’s and Post-Baccalaureate Programs, Other) and by student level (High School, Undergraduate Lower Division, Undergraduate Upper Division, Community College, Graduate). Each submission includes the contributor’s name, institution, email, keywords, and a free-text description of the practice.</w:t>
      </w:r>
    </w:p>
    <w:p>
      <w:pPr>
        <w:spacing w:after="200" w:line="276"/>
      </w:pPr>
      <w:r>
        <w:rPr>
          <w:rFonts w:ascii="Times New Roman" w:cs="Times New Roman" w:eastAsia="Times New Roman" w:hAnsi="Times New Roman"/>
          <w:sz w:val="24"/>
          <w:szCs w:val="24"/>
        </w:rPr>
        <w:t xml:space="preserve">The submissions range from a single sentence to a short paragraph. They are self-reported by faculty and reviewed by the AAA before posting. No outcome data or evidence standards are required. The database is descriptive, not evaluative.</w:t>
      </w:r>
    </w:p>
    <w:p>
      <w:pPr>
        <w:pStyle w:val="Heading1"/>
        <w:spacing w:after="180" w:before="360"/>
      </w:pPr>
      <w:r>
        <w:rPr>
          <w:rFonts w:ascii="Times New Roman" w:cs="Times New Roman" w:eastAsia="Times New Roman" w:hAnsi="Times New Roman"/>
          <w:b/>
          <w:bCs/>
          <w:sz w:val="32"/>
          <w:szCs w:val="32"/>
        </w:rPr>
        <w:t xml:space="preserve">Classification of Submissions</w:t>
      </w:r>
    </w:p>
    <w:p>
      <w:pPr>
        <w:spacing w:after="200" w:line="276"/>
      </w:pPr>
      <w:r>
        <w:rPr>
          <w:rFonts w:ascii="Times New Roman" w:cs="Times New Roman" w:eastAsia="Times New Roman" w:hAnsi="Times New Roman"/>
          <w:sz w:val="24"/>
          <w:szCs w:val="24"/>
        </w:rPr>
        <w:t xml:space="preserve">Reading all submissions, they fall into the following categories. Note that several submissions span multiple categories; we classify by primary intervention.</w:t>
      </w:r>
    </w:p>
    <w:p>
      <w:pPr>
        <w:spacing w:after="200" w:line="276"/>
      </w:pPr>
      <w:r>
        <w:rPr>
          <w:rFonts w:ascii="Times New Roman" w:cs="Times New Roman" w:eastAsia="Times New Roman" w:hAnsi="Times New Roman"/>
          <w:b/>
          <w:bCs/>
          <w:sz w:val="24"/>
          <w:szCs w:val="24"/>
        </w:rPr>
        <w:t xml:space="preserve">Recruitment and Social Events (~8 submissions). </w:t>
      </w:r>
      <w:r>
        <w:rPr>
          <w:rFonts w:ascii="Times New Roman" w:cs="Times New Roman" w:eastAsia="Times New Roman" w:hAnsi="Times New Roman"/>
          <w:sz w:val="24"/>
          <w:szCs w:val="24"/>
        </w:rPr>
        <w:t xml:space="preserve">Banquets for top performers, social events to recruit non-majors, cookies in freshman dorms, Accounting Society activities, Family Weekend information sessions. These are designed to make accounting seem attractive and collegial. They do not address course content.</w:t>
      </w:r>
    </w:p>
    <w:p>
      <w:pPr>
        <w:spacing w:after="200" w:line="276"/>
      </w:pPr>
      <w:r>
        <w:rPr>
          <w:rFonts w:ascii="Times New Roman" w:cs="Times New Roman" w:eastAsia="Times New Roman" w:hAnsi="Times New Roman"/>
          <w:b/>
          <w:bCs/>
          <w:sz w:val="24"/>
          <w:szCs w:val="24"/>
        </w:rPr>
        <w:t xml:space="preserve">Career Messaging and Professional Exposure (~7 submissions). </w:t>
      </w:r>
      <w:r>
        <w:rPr>
          <w:rFonts w:ascii="Times New Roman" w:cs="Times New Roman" w:eastAsia="Times New Roman" w:hAnsi="Times New Roman"/>
          <w:sz w:val="24"/>
          <w:szCs w:val="24"/>
        </w:rPr>
        <w:t xml:space="preserve">Advisory council presentations on ‘Why Choose Accounting,’ guest speaker panels, ‘More than Debits and Credits’ events, social media outreach, Director of Accounting Student Engagement roles. The shared premise is that students would choose accounting if they knew more about the careers it offers. The introductory course itself is not examined.</w:t>
      </w:r>
    </w:p>
    <w:p>
      <w:pPr>
        <w:spacing w:after="200" w:line="276"/>
      </w:pPr>
      <w:r>
        <w:rPr>
          <w:rFonts w:ascii="Times New Roman" w:cs="Times New Roman" w:eastAsia="Times New Roman" w:hAnsi="Times New Roman"/>
          <w:b/>
          <w:bCs/>
          <w:sz w:val="24"/>
          <w:szCs w:val="24"/>
        </w:rPr>
        <w:t xml:space="preserve">Active Learning and Gamification (~5 submissions). </w:t>
      </w:r>
      <w:r>
        <w:rPr>
          <w:rFonts w:ascii="Times New Roman" w:cs="Times New Roman" w:eastAsia="Times New Roman" w:hAnsi="Times New Roman"/>
          <w:sz w:val="24"/>
          <w:szCs w:val="24"/>
        </w:rPr>
        <w:t xml:space="preserve">Kahoot quizzes, flipped classrooms, Monopoly-based visual aids, active problem-solving. These are pedagogical techniques that can be applied to any course content. They address how the material is delivered, not what the material is.</w:t>
      </w:r>
    </w:p>
    <w:p>
      <w:pPr>
        <w:spacing w:after="200" w:line="276"/>
      </w:pPr>
      <w:r>
        <w:rPr>
          <w:rFonts w:ascii="Times New Roman" w:cs="Times New Roman" w:eastAsia="Times New Roman" w:hAnsi="Times New Roman"/>
          <w:b/>
          <w:bCs/>
          <w:sz w:val="24"/>
          <w:szCs w:val="24"/>
        </w:rPr>
        <w:t xml:space="preserve">Technology and Excel Integration (~3 submissions). </w:t>
      </w:r>
      <w:r>
        <w:rPr>
          <w:rFonts w:ascii="Times New Roman" w:cs="Times New Roman" w:eastAsia="Times New Roman" w:hAnsi="Times New Roman"/>
          <w:sz w:val="24"/>
          <w:szCs w:val="24"/>
        </w:rPr>
        <w:t xml:space="preserve">Full-Excel approaches, technology and analytics integration, data analytics tracks. The premise is that accounting courses should incorporate modern tools. The conceptual framework of the course is untouched.</w:t>
      </w:r>
    </w:p>
    <w:p>
      <w:pPr>
        <w:spacing w:after="200" w:line="276"/>
      </w:pPr>
      <w:r>
        <w:rPr>
          <w:rFonts w:ascii="Times New Roman" w:cs="Times New Roman" w:eastAsia="Times New Roman" w:hAnsi="Times New Roman"/>
          <w:b/>
          <w:bCs/>
          <w:sz w:val="24"/>
          <w:szCs w:val="24"/>
        </w:rPr>
        <w:t xml:space="preserve">Case-Based and Real-World Examples (~3 submissions). </w:t>
      </w:r>
      <w:r>
        <w:rPr>
          <w:rFonts w:ascii="Times New Roman" w:cs="Times New Roman" w:eastAsia="Times New Roman" w:hAnsi="Times New Roman"/>
          <w:sz w:val="24"/>
          <w:szCs w:val="24"/>
        </w:rPr>
        <w:t xml:space="preserve">EYARC mini case series, accounting case competitions, real-world application exercises. The aim is to connect textbook material to practice. The textbook material itself is not questioned.</w:t>
      </w:r>
    </w:p>
    <w:p>
      <w:pPr>
        <w:spacing w:after="200" w:line="276"/>
      </w:pPr>
      <w:r>
        <w:rPr>
          <w:rFonts w:ascii="Times New Roman" w:cs="Times New Roman" w:eastAsia="Times New Roman" w:hAnsi="Times New Roman"/>
          <w:b/>
          <w:bCs/>
          <w:sz w:val="24"/>
          <w:szCs w:val="24"/>
        </w:rPr>
        <w:t xml:space="preserve">Curriculum Sequence and Remediation (~3 submissions). </w:t>
      </w:r>
      <w:r>
        <w:rPr>
          <w:rFonts w:ascii="Times New Roman" w:cs="Times New Roman" w:eastAsia="Times New Roman" w:hAnsi="Times New Roman"/>
          <w:sz w:val="24"/>
          <w:szCs w:val="24"/>
        </w:rPr>
        <w:t xml:space="preserve">Bridge courses between principles and intermediate, bootcamp programs with diagnostic quizzes, tutoring collaboratives. These address the transition between courses, not the content of the introductory course.</w:t>
      </w:r>
    </w:p>
    <w:p>
      <w:pPr>
        <w:spacing w:after="200" w:line="276"/>
      </w:pPr>
      <w:r>
        <w:rPr>
          <w:rFonts w:ascii="Times New Roman" w:cs="Times New Roman" w:eastAsia="Times New Roman" w:hAnsi="Times New Roman"/>
          <w:b/>
          <w:bCs/>
          <w:sz w:val="24"/>
          <w:szCs w:val="24"/>
        </w:rPr>
        <w:t xml:space="preserve">Delivery Format (~2 submissions). </w:t>
      </w:r>
      <w:r>
        <w:rPr>
          <w:rFonts w:ascii="Times New Roman" w:cs="Times New Roman" w:eastAsia="Times New Roman" w:hAnsi="Times New Roman"/>
          <w:sz w:val="24"/>
          <w:szCs w:val="24"/>
        </w:rPr>
        <w:t xml:space="preserve">Online/hybrid models for large sections (500–1,500 students), professionally recorded lectures. Pure format innovation.</w:t>
      </w:r>
    </w:p>
    <w:p>
      <w:pPr>
        <w:spacing w:after="200" w:line="276"/>
      </w:pPr>
      <w:r>
        <w:rPr>
          <w:rFonts w:ascii="Times New Roman" w:cs="Times New Roman" w:eastAsia="Times New Roman" w:hAnsi="Times New Roman"/>
          <w:b/>
          <w:bCs/>
          <w:sz w:val="24"/>
          <w:szCs w:val="24"/>
        </w:rPr>
        <w:t xml:space="preserve">High School and Early Outreach (~3 submissions). </w:t>
      </w:r>
      <w:r>
        <w:rPr>
          <w:rFonts w:ascii="Times New Roman" w:cs="Times New Roman" w:eastAsia="Times New Roman" w:hAnsi="Times New Roman"/>
          <w:sz w:val="24"/>
          <w:szCs w:val="24"/>
        </w:rPr>
        <w:t xml:space="preserve">Faculty visiting high schools, summer accounting camps for high school students, first-year experience programs. Pipeline interventions aimed at earlier stages of the funnel.</w:t>
      </w:r>
    </w:p>
    <w:p>
      <w:pPr>
        <w:spacing w:after="200" w:line="276"/>
      </w:pPr>
      <w:r>
        <w:rPr>
          <w:rFonts w:ascii="Times New Roman" w:cs="Times New Roman" w:eastAsia="Times New Roman" w:hAnsi="Times New Roman"/>
          <w:b/>
          <w:bCs/>
          <w:sz w:val="24"/>
          <w:szCs w:val="24"/>
        </w:rPr>
        <w:t xml:space="preserve">Experiential and Service Learning (~2 submissions). </w:t>
      </w:r>
      <w:r>
        <w:rPr>
          <w:rFonts w:ascii="Times New Roman" w:cs="Times New Roman" w:eastAsia="Times New Roman" w:hAnsi="Times New Roman"/>
          <w:sz w:val="24"/>
          <w:szCs w:val="24"/>
        </w:rPr>
        <w:t xml:space="preserve">VITA tax preparation programs, CPA enabling competency development. These enrich the curriculum with professional experience but do not alter the conceptual foundation.</w:t>
      </w:r>
    </w:p>
    <w:p>
      <w:pPr>
        <w:spacing w:after="200" w:line="276"/>
      </w:pPr>
      <w:r>
        <w:rPr>
          <w:rFonts w:ascii="Times New Roman" w:cs="Times New Roman" w:eastAsia="Times New Roman" w:hAnsi="Times New Roman"/>
          <w:b/>
          <w:bCs/>
          <w:sz w:val="24"/>
          <w:szCs w:val="24"/>
        </w:rPr>
        <w:t xml:space="preserve">Faculty Assignment (~1 submission). </w:t>
      </w:r>
      <w:r>
        <w:rPr>
          <w:rFonts w:ascii="Times New Roman" w:cs="Times New Roman" w:eastAsia="Times New Roman" w:hAnsi="Times New Roman"/>
          <w:sz w:val="24"/>
          <w:szCs w:val="24"/>
        </w:rPr>
        <w:t xml:space="preserve">Assigning the strongest teachers to introductory courses rather than to upper-division courses. A resource-allocation decision, not a content decision.</w:t>
      </w:r>
    </w:p>
    <w:p>
      <w:pPr>
        <w:pStyle w:val="Heading1"/>
        <w:spacing w:after="180" w:before="360"/>
      </w:pPr>
      <w:r>
        <w:rPr>
          <w:rFonts w:ascii="Times New Roman" w:cs="Times New Roman" w:eastAsia="Times New Roman" w:hAnsi="Times New Roman"/>
          <w:b/>
          <w:bCs/>
          <w:sz w:val="32"/>
          <w:szCs w:val="32"/>
        </w:rPr>
        <w:t xml:space="preserve">What Is Missing</w:t>
      </w:r>
    </w:p>
    <w:p>
      <w:pPr>
        <w:spacing w:after="200" w:line="276"/>
      </w:pPr>
      <w:r>
        <w:rPr>
          <w:rFonts w:ascii="Times New Roman" w:cs="Times New Roman" w:eastAsia="Times New Roman" w:hAnsi="Times New Roman"/>
          <w:sz w:val="24"/>
          <w:szCs w:val="24"/>
        </w:rPr>
        <w:t xml:space="preserve">The classification above reveals a striking absence. Not one of the submissions asks: What should students understand about the nature of accounting when they leave the introductory course? Not one proposes a different answer to the question “What is accounting?” Not one examines whether the conceptual framework taught in the first course—the measurement paradigm, the FASB Conceptual Framework as the organizing principle, the treatment of accounting as a species of economic measurement—might itself be contributing to the pipeline problem.</w:t>
      </w:r>
    </w:p>
    <w:p>
      <w:pPr>
        <w:spacing w:after="200" w:line="276"/>
      </w:pPr>
      <w:r>
        <w:rPr>
          <w:rFonts w:ascii="Times New Roman" w:cs="Times New Roman" w:eastAsia="Times New Roman" w:hAnsi="Times New Roman"/>
          <w:sz w:val="24"/>
          <w:szCs w:val="24"/>
        </w:rPr>
        <w:t xml:space="preserve">The database assumes the introductory course is structurally sound and needs better execution. Every submission operates within this assumption. The interventions are about making the course more engaging (gamification, active learning), more visibly connected to careers (guest speakers, career panels), more technologically current (Excel, data analytics), more supportive (tutoring, mentoring, bootcamps), or more effectively marketed (social events, outreach, social media). These are reasonable responses to a real problem. But they are all responses to the same diagnosis: the course is fine; the delivery needs improvement.</w:t>
      </w:r>
    </w:p>
    <w:p>
      <w:pPr>
        <w:spacing w:after="200" w:line="276"/>
      </w:pPr>
      <w:r>
        <w:rPr>
          <w:rFonts w:ascii="Times New Roman" w:cs="Times New Roman" w:eastAsia="Times New Roman" w:hAnsi="Times New Roman"/>
          <w:sz w:val="24"/>
          <w:szCs w:val="24"/>
        </w:rPr>
        <w:t xml:space="preserve">The alternative diagnosis—that the conceptual foundation of the course is wrong, that the measurement paradigm is incoherent as a teaching framework, and that no amount of pedagogical innovation can compensate for a flawed paradigm—is nowhere represented in the database. This is the gap that the Accounting Horizons article addresses.</w:t>
      </w:r>
    </w:p>
    <w:p>
      <w:pPr>
        <w:pStyle w:val="Heading1"/>
        <w:spacing w:after="180" w:before="360"/>
      </w:pPr>
      <w:r>
        <w:rPr>
          <w:rFonts w:ascii="Times New Roman" w:cs="Times New Roman" w:eastAsia="Times New Roman" w:hAnsi="Times New Roman"/>
          <w:b/>
          <w:bCs/>
          <w:sz w:val="32"/>
          <w:szCs w:val="32"/>
        </w:rPr>
        <w:t xml:space="preserve">Relevance to the Article</w:t>
      </w:r>
    </w:p>
    <w:p>
      <w:pPr>
        <w:spacing w:after="200" w:line="276"/>
      </w:pPr>
      <w:r>
        <w:rPr>
          <w:rFonts w:ascii="Times New Roman" w:cs="Times New Roman" w:eastAsia="Times New Roman" w:hAnsi="Times New Roman"/>
          <w:sz w:val="24"/>
          <w:szCs w:val="24"/>
        </w:rPr>
        <w:t xml:space="preserve">The AAA best-practices database is useful to the article in two ways. First, it documents the profession’s most visible collective response to the pipeline crisis, which allows the article to acknowledge that response respectfully before arguing that it is insufficient. The article need not attack the database or the task force; it can simply observe that the 45 submissions, taken together, constitute an existence proof that the profession has not yet examined the paradigm.</w:t>
      </w:r>
    </w:p>
    <w:p>
      <w:pPr>
        <w:spacing w:after="200" w:line="276"/>
      </w:pPr>
      <w:r>
        <w:rPr>
          <w:rFonts w:ascii="Times New Roman" w:cs="Times New Roman" w:eastAsia="Times New Roman" w:hAnsi="Times New Roman"/>
          <w:sz w:val="24"/>
          <w:szCs w:val="24"/>
        </w:rPr>
        <w:t xml:space="preserve">Second, the database’s title—“Best Practices in Attracting and Retaining Accounting Majors”—frames the problem as one of attraction and retention, not one of understanding. This framing is itself a symptom of the paradigm problem. If the introductory course gave students a coherent and intellectually satisfying answer to the question “What is accounting?”, the attraction and retention problem might look very different. The article can make this point without being polemical: the best-practices frame is reasonable given its premises; the article’s contribution is to question the premises.</w:t>
      </w:r>
    </w:p>
    <w:p>
      <w:r>
        <w:br w:type="page"/>
      </w:r>
    </w:p>
    <w:p>
      <w:pPr>
        <w:pStyle w:val="Heading1"/>
        <w:spacing w:after="180" w:before="240"/>
      </w:pPr>
      <w:r>
        <w:rPr>
          <w:rFonts w:ascii="Times New Roman" w:cs="Times New Roman" w:eastAsia="Times New Roman" w:hAnsi="Times New Roman"/>
          <w:b/>
          <w:bCs/>
          <w:sz w:val="32"/>
          <w:szCs w:val="32"/>
        </w:rPr>
        <w:t xml:space="preserve">Full Catalogue of Submissions</w:t>
      </w:r>
    </w:p>
    <w:p>
      <w:pPr>
        <w:spacing w:after="200" w:line="276"/>
      </w:pPr>
      <w:r>
        <w:rPr>
          <w:rFonts w:ascii="Times New Roman" w:cs="Times New Roman" w:eastAsia="Times New Roman" w:hAnsi="Times New Roman"/>
          <w:sz w:val="24"/>
          <w:szCs w:val="24"/>
        </w:rPr>
        <w:t xml:space="preserve">The following lists all submissions retrieved from the AAA database (filtered to show all innovation types). Each entry records the contributor, institution, innovation type, keywords, and a summary of the practice described. Descriptions are summarized from the contributor’s original text.</w:t>
      </w:r>
    </w:p>
    <w:p>
      <w:pPr>
        <w:pStyle w:val="Heading2"/>
        <w:spacing w:after="80" w:before="240"/>
      </w:pPr>
      <w:r>
        <w:rPr>
          <w:rFonts w:ascii="Times New Roman" w:cs="Times New Roman" w:eastAsia="Times New Roman" w:hAnsi="Times New Roman"/>
          <w:b/>
          <w:bCs/>
          <w:sz w:val="26"/>
          <w:szCs w:val="26"/>
        </w:rPr>
        <w:t xml:space="preserve">1. Andee Hodo, Auburn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Student Program Success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Top Performers, Principles of Financial Accounting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Recruitment/Social</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Top 10% of Principles of Financial Accounting students are invited to the Financial Accounting Stars Banquet (FASB). Themed events (Oscars Award Party, Margaritaville) where Beta Alpha Psi members host a “star.” Faculty assigned to each table. Panel of students discusses why they chose accounting; alumni speaker on non-public-accounting career paths. Reported as highly successful for converting pre-business majors.</w:t>
      </w:r>
    </w:p>
    <w:p>
      <w:pPr>
        <w:pStyle w:val="Heading2"/>
        <w:spacing w:after="80" w:before="240"/>
      </w:pPr>
      <w:r>
        <w:rPr>
          <w:rFonts w:ascii="Times New Roman" w:cs="Times New Roman" w:eastAsia="Times New Roman" w:hAnsi="Times New Roman"/>
          <w:b/>
          <w:bCs/>
          <w:sz w:val="26"/>
          <w:szCs w:val="26"/>
        </w:rPr>
        <w:t xml:space="preserve">2. Craig Sisneros, Oklahoma State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 Intermediate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Bridge Course, Curriculum Change, Intermediate Accounting, Accounting Principles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Curriculum Sequence</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 bridge course sequence to prepare students for intermediate financial accounting. Published in Issues in Accounting Education (Vol. 38, No. 4, Nov. 2023). Results include higher grades throughout the intermediate series, higher retention of accounting majors, and higher gains among non-accounting majors. Follow-up study shows equitable outcomes for underrepresented minority and female students.</w:t>
      </w:r>
    </w:p>
    <w:p>
      <w:pPr>
        <w:pStyle w:val="Heading2"/>
        <w:spacing w:after="80" w:before="240"/>
      </w:pPr>
      <w:r>
        <w:rPr>
          <w:rFonts w:ascii="Times New Roman" w:cs="Times New Roman" w:eastAsia="Times New Roman" w:hAnsi="Times New Roman"/>
          <w:b/>
          <w:bCs/>
          <w:sz w:val="26"/>
          <w:szCs w:val="26"/>
        </w:rPr>
        <w:t xml:space="preserve">3. Jong Chool Park, University of South Florida</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Intermediate Courses, Upper Division, Classroom Activity, Bootcamp</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Bootcamp, Diagnostic Quiz, Individualized Advising, Teaching Assistants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Remediation/Bootcamp</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Bootcamp with diagnostic quizzes before intermediate accounting. Individualized advising and teaching assistant support to identify and remediate gaps from the principles course before students encounter intermediate material.</w:t>
      </w:r>
    </w:p>
    <w:p>
      <w:pPr>
        <w:pStyle w:val="Heading2"/>
        <w:spacing w:after="80" w:before="240"/>
      </w:pPr>
      <w:r>
        <w:rPr>
          <w:rFonts w:ascii="Times New Roman" w:cs="Times New Roman" w:eastAsia="Times New Roman" w:hAnsi="Times New Roman"/>
          <w:b/>
          <w:bCs/>
          <w:sz w:val="26"/>
          <w:szCs w:val="26"/>
        </w:rPr>
        <w:t xml:space="preserve">4. Julia Camp, Providence College</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Student Program Success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Social Collegiality</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Recruitment/Social</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Department reaches out to top-performing non-majors in principles courses and invites them to social events to learn about the major. Faculty showcase the collegial culture of the department. Reported success in getting students to switch majors or double-major in accounting.</w:t>
      </w:r>
    </w:p>
    <w:p>
      <w:pPr>
        <w:pStyle w:val="Heading2"/>
        <w:spacing w:after="80" w:before="240"/>
      </w:pPr>
      <w:r>
        <w:rPr>
          <w:rFonts w:ascii="Times New Roman" w:cs="Times New Roman" w:eastAsia="Times New Roman" w:hAnsi="Times New Roman"/>
          <w:b/>
          <w:bCs/>
          <w:sz w:val="26"/>
          <w:szCs w:val="26"/>
        </w:rPr>
        <w:t xml:space="preserve">5. Joan Lee, Fairfield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Classroom Activity</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Best Teachers, Active Learning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Faculty Assignment</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As department chair, assigned strongest teachers to the introductory classes and encouraged active learning. Hired adjuncts (practitioners) for major-level courses. Rationale: the first course is the best opportunity to attract majors, so it should have the best instructors.</w:t>
      </w:r>
    </w:p>
    <w:p>
      <w:pPr>
        <w:pStyle w:val="Heading2"/>
        <w:spacing w:after="80" w:before="240"/>
      </w:pPr>
      <w:r>
        <w:rPr>
          <w:rFonts w:ascii="Times New Roman" w:cs="Times New Roman" w:eastAsia="Times New Roman" w:hAnsi="Times New Roman"/>
          <w:b/>
          <w:bCs/>
          <w:sz w:val="26"/>
          <w:szCs w:val="26"/>
        </w:rPr>
        <w:t xml:space="preserve">6. Kevin Koharki, Purdue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Master’s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Enrollment, Course Creativity, Non-Traditional Career Paths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Recruitment/Messaging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Survey course highlighting non-traditional career paths for accounting degree holders. Exclusive sporting events and tailgates. Culture of consistent messaging from arrival through graduation. Education on benefits of the MSA. CPA framed as a ‘must have’ for any accounting career.</w:t>
      </w:r>
    </w:p>
    <w:p>
      <w:pPr>
        <w:pStyle w:val="Heading2"/>
        <w:spacing w:after="80" w:before="240"/>
      </w:pPr>
      <w:r>
        <w:rPr>
          <w:rFonts w:ascii="Times New Roman" w:cs="Times New Roman" w:eastAsia="Times New Roman" w:hAnsi="Times New Roman"/>
          <w:b/>
          <w:bCs/>
          <w:sz w:val="26"/>
          <w:szCs w:val="26"/>
        </w:rPr>
        <w:t xml:space="preserve">7. Richard Riley, West Virginia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Experiential Learning</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Partnerships, Advisory Council, Recruiters, Experiential Learning, Free MAcc, CPA Evolution, Tracks, Excel, Data Analytics, 3+1 Programs, ESG, Problem-Solving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Recruitment/Messaging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Talks to 725 freshman business students and 500 high school freshmen about choosing accounting. Focuses on problem-solving using financial and non-financial numbers. Highlights zero-emissions-in-2050 and the value of a live vs. dead elephant. Multiple programmatic innovations: free MAcc, 3+1 programs, data analytics tracks, corporate responsibility/ESG integration.</w:t>
      </w:r>
    </w:p>
    <w:p>
      <w:pPr>
        <w:pStyle w:val="Heading2"/>
        <w:spacing w:after="80" w:before="240"/>
      </w:pPr>
      <w:r>
        <w:rPr>
          <w:rFonts w:ascii="Times New Roman" w:cs="Times New Roman" w:eastAsia="Times New Roman" w:hAnsi="Times New Roman"/>
          <w:b/>
          <w:bCs/>
          <w:sz w:val="26"/>
          <w:szCs w:val="26"/>
        </w:rPr>
        <w:t xml:space="preserve">8. Gary McGill, University of Florida</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Online Learning, Hybrid</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Delivery Format</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Both principles courses offered to class sizes of 500–1,500. Some students attend live; lectures are professionally recorded for asynchronous consumption. Innovation is in delivery format and scale.</w:t>
      </w:r>
    </w:p>
    <w:p>
      <w:pPr>
        <w:pStyle w:val="Heading2"/>
        <w:spacing w:after="80" w:before="240"/>
      </w:pPr>
      <w:r>
        <w:rPr>
          <w:rFonts w:ascii="Times New Roman" w:cs="Times New Roman" w:eastAsia="Times New Roman" w:hAnsi="Times New Roman"/>
          <w:b/>
          <w:bCs/>
          <w:sz w:val="26"/>
          <w:szCs w:val="26"/>
        </w:rPr>
        <w:t xml:space="preserve">9. Karen Kitching, Georgetown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Technology, Advisory, Industry Careers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Technology/Career Exposure</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Integrate technology and analytics throughout the curriculum (not just Excel and Tableau). Inform students about accounting careers beyond audit and tax. Bring in guest speakers to highlight their jobs and describe their use of technology.</w:t>
      </w:r>
    </w:p>
    <w:p>
      <w:pPr>
        <w:pStyle w:val="Heading2"/>
        <w:spacing w:after="80" w:before="240"/>
      </w:pPr>
      <w:r>
        <w:rPr>
          <w:rFonts w:ascii="Times New Roman" w:cs="Times New Roman" w:eastAsia="Times New Roman" w:hAnsi="Times New Roman"/>
          <w:b/>
          <w:bCs/>
          <w:sz w:val="26"/>
          <w:szCs w:val="26"/>
        </w:rPr>
        <w:t xml:space="preserve">10. Joni Fisher, EYARC (EY)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 Intermediate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Introductory Accounting, Financial, Real World Examples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Case-Based Learning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EYARC mini case series: eight mini cases providing students with understanding of how foundational concepts apply to real-world accounting careers. Faculty teaching tool to infuse real-life examples and dispel negative misconceptions about accounting.</w:t>
      </w:r>
    </w:p>
    <w:p>
      <w:pPr>
        <w:pStyle w:val="Heading2"/>
        <w:spacing w:after="80" w:before="240"/>
      </w:pPr>
      <w:r>
        <w:rPr>
          <w:rFonts w:ascii="Times New Roman" w:cs="Times New Roman" w:eastAsia="Times New Roman" w:hAnsi="Times New Roman"/>
          <w:b/>
          <w:bCs/>
          <w:sz w:val="26"/>
          <w:szCs w:val="26"/>
        </w:rPr>
        <w:t xml:space="preserve">11. Leah Diehl, University of Montana</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 Classroom Activity</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Guest Speakers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Guest Speakers</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Experiment across three sections of Intro to Managerial (Spring 2023). Control group vs. eight live guest speakers vs. eight video guest speakers. Purpose: demonstrate career relevance and diversity of accounting careers.</w:t>
      </w:r>
    </w:p>
    <w:p>
      <w:pPr>
        <w:pStyle w:val="Heading2"/>
        <w:spacing w:after="80" w:before="240"/>
      </w:pPr>
      <w:r>
        <w:rPr>
          <w:rFonts w:ascii="Times New Roman" w:cs="Times New Roman" w:eastAsia="Times New Roman" w:hAnsi="Times New Roman"/>
          <w:b/>
          <w:bCs/>
          <w:sz w:val="26"/>
          <w:szCs w:val="26"/>
        </w:rPr>
        <w:t xml:space="preserve">12. Cassy Budd, Brigham Young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Other</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Outreach, Freshman, General Education, Career Options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Recruitment/Outreach</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Made the first principles course a general education class. Started an outreach program: faculty visit freshman dorms, hand out cookies and invitations to an information session about accounting careers.</w:t>
      </w:r>
    </w:p>
    <w:p>
      <w:pPr>
        <w:pStyle w:val="Heading2"/>
        <w:spacing w:after="80" w:before="240"/>
      </w:pPr>
      <w:r>
        <w:rPr>
          <w:rFonts w:ascii="Times New Roman" w:cs="Times New Roman" w:eastAsia="Times New Roman" w:hAnsi="Times New Roman"/>
          <w:b/>
          <w:bCs/>
          <w:sz w:val="26"/>
          <w:szCs w:val="26"/>
        </w:rPr>
        <w:t xml:space="preserve">13. Julie Mercado, University of Dallas</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Student Program Success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Competition, Student Engagement, Real-World Application</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Competitions</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Accounting case competition for introductory students. Teams work on a real-world case, present to judges from practice. Aim: student engagement and real-world application.</w:t>
      </w:r>
    </w:p>
    <w:p>
      <w:pPr>
        <w:pStyle w:val="Heading2"/>
        <w:spacing w:after="80" w:before="240"/>
      </w:pPr>
      <w:r>
        <w:rPr>
          <w:rFonts w:ascii="Times New Roman" w:cs="Times New Roman" w:eastAsia="Times New Roman" w:hAnsi="Times New Roman"/>
          <w:b/>
          <w:bCs/>
          <w:sz w:val="26"/>
          <w:szCs w:val="26"/>
        </w:rPr>
        <w:t xml:space="preserve">14. Natalie Churyk, Northern Illinois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Multiple categories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Student Recruitment, Data Analytics, Summer Boot Camp, Case Study, Excel</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Multiple Tactics</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Summer boot camp for high school students, data analytics integration, case studies, and Excel instruction embedded in the curriculum.</w:t>
      </w:r>
    </w:p>
    <w:p>
      <w:pPr>
        <w:pStyle w:val="Heading2"/>
        <w:spacing w:after="80" w:before="240"/>
      </w:pPr>
      <w:r>
        <w:rPr>
          <w:rFonts w:ascii="Times New Roman" w:cs="Times New Roman" w:eastAsia="Times New Roman" w:hAnsi="Times New Roman"/>
          <w:b/>
          <w:bCs/>
          <w:sz w:val="26"/>
          <w:szCs w:val="26"/>
        </w:rPr>
        <w:t xml:space="preserve">15. Shawn Mauldin, Mississippi State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 Student Program Success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Summer Accounting Camps, Why Choose Accounting, Peer Assistance</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Multiple Tactics</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Four initiatives: (1) Advisory council members present ‘Why Choose Accounting’ to all principles students. (2) Peer Assisted Learning Sessions (PALS) in principles courses. (3) Summer accounting camps. (4) Professional mentoring.</w:t>
      </w:r>
    </w:p>
    <w:p>
      <w:pPr>
        <w:pStyle w:val="Heading2"/>
        <w:spacing w:after="80" w:before="240"/>
      </w:pPr>
      <w:r>
        <w:rPr>
          <w:rFonts w:ascii="Times New Roman" w:cs="Times New Roman" w:eastAsia="Times New Roman" w:hAnsi="Times New Roman"/>
          <w:b/>
          <w:bCs/>
          <w:sz w:val="26"/>
          <w:szCs w:val="26"/>
        </w:rPr>
        <w:t xml:space="preserve">16. Yunita Anwar, Shenandoah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Upper Division</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Gamification, Kahoot, Active Learning, Excel</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Gamification</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Kahoot! interactive quizzes to reinforce learning and prepare for exams. Game format encourages active participation. Used across principles and upper-division courses.</w:t>
      </w:r>
    </w:p>
    <w:p>
      <w:pPr>
        <w:pStyle w:val="Heading2"/>
        <w:spacing w:after="80" w:before="240"/>
      </w:pPr>
      <w:r>
        <w:rPr>
          <w:rFonts w:ascii="Times New Roman" w:cs="Times New Roman" w:eastAsia="Times New Roman" w:hAnsi="Times New Roman"/>
          <w:b/>
          <w:bCs/>
          <w:sz w:val="26"/>
          <w:szCs w:val="26"/>
        </w:rPr>
        <w:t xml:space="preserve">17. Martin Mulyadi, Shenandoah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Upper Division</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Excel, Chapter Overview Chart/Map</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Technology/Excel</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Full-Excel approach: students receive Excel templates before class and work through problems in Excel during class. Chapter overview charts/maps provide visual structure.</w:t>
      </w:r>
    </w:p>
    <w:p>
      <w:pPr>
        <w:pStyle w:val="Heading2"/>
        <w:spacing w:after="80" w:before="240"/>
      </w:pPr>
      <w:r>
        <w:rPr>
          <w:rFonts w:ascii="Times New Roman" w:cs="Times New Roman" w:eastAsia="Times New Roman" w:hAnsi="Times New Roman"/>
          <w:b/>
          <w:bCs/>
          <w:sz w:val="26"/>
          <w:szCs w:val="26"/>
        </w:rPr>
        <w:t xml:space="preserve">18. Alyssa Vowell, Oklahoma State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Master’s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Tutoring, Mentoring, Inclusion, Culture</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Tutoring/Mentoring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Accounting Collaborative for Excellence (ACE): tutoring, mentoring, and inclusion program designed to build a supportive culture for accounting students across all levels.</w:t>
      </w:r>
    </w:p>
    <w:p>
      <w:pPr>
        <w:pStyle w:val="Heading2"/>
        <w:spacing w:after="80" w:before="240"/>
      </w:pPr>
      <w:r>
        <w:rPr>
          <w:rFonts w:ascii="Times New Roman" w:cs="Times New Roman" w:eastAsia="Times New Roman" w:hAnsi="Times New Roman"/>
          <w:b/>
          <w:bCs/>
          <w:sz w:val="26"/>
          <w:szCs w:val="26"/>
        </w:rPr>
        <w:t xml:space="preserve">19. Cynthia Brame, Vanderbilt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Classroom Activity</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Active Learning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Active Learning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Active learning techniques in accounting courses. Research-based approach to classroom engagement.</w:t>
      </w:r>
    </w:p>
    <w:p>
      <w:pPr>
        <w:pStyle w:val="Heading2"/>
        <w:spacing w:after="80" w:before="240"/>
      </w:pPr>
      <w:r>
        <w:rPr>
          <w:rFonts w:ascii="Times New Roman" w:cs="Times New Roman" w:eastAsia="Times New Roman" w:hAnsi="Times New Roman"/>
          <w:b/>
          <w:bCs/>
          <w:sz w:val="26"/>
          <w:szCs w:val="26"/>
        </w:rPr>
        <w:t xml:space="preserve">20. Greg Sommers, Southern Methodist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Other</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Family Weekend, Parents, Information Session</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Recruitment/Outreach</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Hosts a one-hour Accounting Information Session during Family Weekend. Describes the major, internships, Masters, CPA, and job opportunities. Invites students and families. Addresses families’ questions about the accounting career path.</w:t>
      </w:r>
    </w:p>
    <w:p>
      <w:pPr>
        <w:pStyle w:val="Heading2"/>
        <w:spacing w:after="80" w:before="240"/>
      </w:pPr>
      <w:r>
        <w:rPr>
          <w:rFonts w:ascii="Times New Roman" w:cs="Times New Roman" w:eastAsia="Times New Roman" w:hAnsi="Times New Roman"/>
          <w:b/>
          <w:bCs/>
          <w:sz w:val="26"/>
          <w:szCs w:val="26"/>
        </w:rPr>
        <w:t xml:space="preserve">21. Ashley Austin, University of Richmond</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Student Program Success, Other</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Student Engagement, Career Paths, Social Media</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Recruitment/Messaging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Designated a tenured faculty member as Director of Accounting Student Engagement. Charged with piquing student interest in accounting careers. Social media presence and engagement initiatives.</w:t>
      </w:r>
    </w:p>
    <w:p>
      <w:pPr>
        <w:pStyle w:val="Heading2"/>
        <w:spacing w:after="80" w:before="240"/>
      </w:pPr>
      <w:r>
        <w:rPr>
          <w:rFonts w:ascii="Times New Roman" w:cs="Times New Roman" w:eastAsia="Times New Roman" w:hAnsi="Times New Roman"/>
          <w:b/>
          <w:bCs/>
          <w:sz w:val="26"/>
          <w:szCs w:val="26"/>
        </w:rPr>
        <w:t xml:space="preserve">22. Molly Purnell, Gonzaga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Other</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Accounting Society, Student Engagement</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Recruitment/Social</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Accounting Society activities to build community among accounting students and increase engagement with the profession.</w:t>
      </w:r>
    </w:p>
    <w:p>
      <w:pPr>
        <w:pStyle w:val="Heading2"/>
        <w:spacing w:after="80" w:before="240"/>
      </w:pPr>
      <w:r>
        <w:rPr>
          <w:rFonts w:ascii="Times New Roman" w:cs="Times New Roman" w:eastAsia="Times New Roman" w:hAnsi="Times New Roman"/>
          <w:b/>
          <w:bCs/>
          <w:sz w:val="26"/>
          <w:szCs w:val="26"/>
        </w:rPr>
        <w:t xml:space="preserve">23. J. Gregory Jenkins, Virginia Tech</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Multiple</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First-Year Experience, Summer Camp, Career Paths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Recruitment/Outreach</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First-year experience programs, summer camps, and career-path exposure for incoming students considering accounting.</w:t>
      </w:r>
    </w:p>
    <w:p>
      <w:pPr>
        <w:pStyle w:val="Heading2"/>
        <w:spacing w:after="80" w:before="240"/>
      </w:pPr>
      <w:r>
        <w:rPr>
          <w:rFonts w:ascii="Times New Roman" w:cs="Times New Roman" w:eastAsia="Times New Roman" w:hAnsi="Times New Roman"/>
          <w:b/>
          <w:bCs/>
          <w:sz w:val="26"/>
          <w:szCs w:val="26"/>
        </w:rPr>
        <w:t xml:space="preserve">24. Dawn Massey, Fairfield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Flipped Classroom, Active Learning, Student Engagement</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Active Learning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Flipped classroom model in principles courses. Students engage with lecture material before class; class time devoted to active problem-solving and discussion.</w:t>
      </w:r>
    </w:p>
    <w:p>
      <w:pPr>
        <w:pStyle w:val="Heading2"/>
        <w:spacing w:after="80" w:before="240"/>
      </w:pPr>
      <w:r>
        <w:rPr>
          <w:rFonts w:ascii="Times New Roman" w:cs="Times New Roman" w:eastAsia="Times New Roman" w:hAnsi="Times New Roman"/>
          <w:b/>
          <w:bCs/>
          <w:sz w:val="26"/>
          <w:szCs w:val="26"/>
        </w:rPr>
        <w:t xml:space="preserve">25. Ann Dzuranin, Northern Illinois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Experiential Learning</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VITA, Tax Preparation, Service Learning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Experiential Learning</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VITA (Volunteer Income Tax Assistance) program integrated into the curriculum as experiential/service learning.</w:t>
      </w:r>
    </w:p>
    <w:p>
      <w:pPr>
        <w:pStyle w:val="Heading2"/>
        <w:spacing w:after="80" w:before="240"/>
      </w:pPr>
      <w:r>
        <w:rPr>
          <w:rFonts w:ascii="Times New Roman" w:cs="Times New Roman" w:eastAsia="Times New Roman" w:hAnsi="Times New Roman"/>
          <w:b/>
          <w:bCs/>
          <w:sz w:val="26"/>
          <w:szCs w:val="26"/>
        </w:rPr>
        <w:t xml:space="preserve">26. Rodney Sauder, Messiah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Classroom Activity</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Opportunities, Inform, Path</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High School Outreach</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Connected with about a dozen high schools in South Central Pennsylvania. Faculty visit to share about opportunities in accounting. Help high school students understand what to consider when choosing accounting.</w:t>
      </w:r>
    </w:p>
    <w:p>
      <w:pPr>
        <w:pStyle w:val="Heading2"/>
        <w:spacing w:after="80" w:before="240"/>
      </w:pPr>
      <w:r>
        <w:rPr>
          <w:rFonts w:ascii="Times New Roman" w:cs="Times New Roman" w:eastAsia="Times New Roman" w:hAnsi="Times New Roman"/>
          <w:b/>
          <w:bCs/>
          <w:sz w:val="26"/>
          <w:szCs w:val="26"/>
        </w:rPr>
        <w:t xml:space="preserve">27. Sanobar Siddiqui, University of Regina</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through Experiential Learning</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CPA Enabling Competency, Professional Skills, Research-Informed Teaching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Professional Skills</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Focus on CPA enabling competencies—professional skills and values. Research-informed teaching tools. Structured literature review on how to inculcate these competencies.</w:t>
      </w:r>
    </w:p>
    <w:p>
      <w:pPr>
        <w:pStyle w:val="Heading2"/>
        <w:spacing w:after="80" w:before="240"/>
      </w:pPr>
      <w:r>
        <w:rPr>
          <w:rFonts w:ascii="Times New Roman" w:cs="Times New Roman" w:eastAsia="Times New Roman" w:hAnsi="Times New Roman"/>
          <w:b/>
          <w:bCs/>
          <w:sz w:val="26"/>
          <w:szCs w:val="26"/>
        </w:rPr>
        <w:t xml:space="preserve">28. Rachel Domnick, Oklahoma State University</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Upper Division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Careers in Accounting, Inclusive Course, Promoting the Profession</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Career Exposure</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Accounting Practicum course designed to equip students with knowledge and ability to communicate various career paths. Interaction with professionals.</w:t>
      </w:r>
    </w:p>
    <w:p>
      <w:pPr>
        <w:pStyle w:val="Heading2"/>
        <w:spacing w:after="80" w:before="240"/>
      </w:pPr>
      <w:r>
        <w:rPr>
          <w:rFonts w:ascii="Times New Roman" w:cs="Times New Roman" w:eastAsia="Times New Roman" w:hAnsi="Times New Roman"/>
          <w:b/>
          <w:bCs/>
          <w:sz w:val="26"/>
          <w:szCs w:val="26"/>
        </w:rPr>
        <w:t xml:space="preserve">29. Prince Doliya, IIM Vishakhapatnam</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 Classroom Activity</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Visual Aid, Drawing, Accounting Education, CoGS</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Visual Aids/Gamification</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Visual tools including Monopoly game and custom drawings to teach double-entry accounting, Cost of Goods Sold, and impact of debt on taxable income.</w:t>
      </w:r>
    </w:p>
    <w:p>
      <w:pPr>
        <w:pStyle w:val="Heading2"/>
        <w:spacing w:after="80" w:before="240"/>
      </w:pPr>
      <w:r>
        <w:rPr>
          <w:rFonts w:ascii="Times New Roman" w:cs="Times New Roman" w:eastAsia="Times New Roman" w:hAnsi="Times New Roman"/>
          <w:b/>
          <w:bCs/>
          <w:sz w:val="26"/>
          <w:szCs w:val="26"/>
        </w:rPr>
        <w:t xml:space="preserve">30. Becca Baaske, University of Tampa</w:t>
      </w:r>
    </w:p>
    <w:p>
      <w:pPr>
        <w:spacing w:after="200" w:line="276"/>
      </w:pPr>
      <w:r>
        <w:rPr>
          <w:rFonts w:ascii="Times New Roman" w:cs="Times New Roman" w:eastAsia="Times New Roman" w:hAnsi="Times New Roman"/>
          <w:b/>
          <w:bCs/>
          <w:sz w:val="24"/>
          <w:szCs w:val="24"/>
        </w:rPr>
        <w:t xml:space="preserve">Innovation Type: </w:t>
      </w:r>
      <w:r>
        <w:rPr>
          <w:rFonts w:ascii="Times New Roman" w:cs="Times New Roman" w:eastAsia="Times New Roman" w:hAnsi="Times New Roman"/>
          <w:sz w:val="24"/>
          <w:szCs w:val="24"/>
        </w:rPr>
        <w:t xml:space="preserve">Principles Courses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Panel, Introductory, Networking</w:t>
      </w:r>
    </w:p>
    <w:p>
      <w:pPr>
        <w:spacing w:after="200" w:line="276"/>
      </w:pPr>
      <w:r>
        <w:rPr>
          <w:rFonts w:ascii="Times New Roman" w:cs="Times New Roman" w:eastAsia="Times New Roman" w:hAnsi="Times New Roman"/>
          <w:b/>
          <w:bCs/>
          <w:sz w:val="24"/>
          <w:szCs w:val="24"/>
        </w:rPr>
        <w:t xml:space="preserve">Category: </w:t>
      </w:r>
      <w:r>
        <w:rPr>
          <w:rFonts w:ascii="Times New Roman" w:cs="Times New Roman" w:eastAsia="Times New Roman" w:hAnsi="Times New Roman"/>
          <w:sz w:val="24"/>
          <w:szCs w:val="24"/>
        </w:rPr>
        <w:t xml:space="preserve">Guest Speakers/Career</w:t>
      </w:r>
    </w:p>
    <w:p>
      <w:pPr>
        <w:spacing w:after="200" w:line="276"/>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Panel event called ‘More than Debits and Credits’ offered to all introductory financial and managerial accounting students every semester. Professionals describe career paths. Networking opportunities.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2026-03-20T22:42:46.232Z</dcterms:created>
  <dcterms:modified xsi:type="dcterms:W3CDTF">2026-03-20T22:42:46.232Z</dcterms:modified>
</cp:coreProperties>
</file>

<file path=docProps/custom.xml><?xml version="1.0" encoding="utf-8"?>
<Properties xmlns="http://schemas.openxmlformats.org/officeDocument/2006/custom-properties" xmlns:vt="http://schemas.openxmlformats.org/officeDocument/2006/docPropsVTypes"/>
</file>