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6"/>
          <w:szCs w:val="36"/>
        </w:rPr>
        <w:t xml:space="preserve">Accounting as Information Processing</w:t>
      </w:r>
    </w:p>
    <w:p>
      <w:pPr>
        <w:spacing w:after="120"/>
        <w:jc w:val="center"/>
      </w:pPr>
      <w:r>
        <w:rPr>
          <w:rFonts w:ascii="Times New Roman" w:cs="Times New Roman" w:eastAsia="Times New Roman" w:hAnsi="Times New Roman"/>
          <w:i/>
          <w:iCs/>
          <w:sz w:val="28"/>
          <w:szCs w:val="28"/>
        </w:rPr>
        <w:t xml:space="preserve">Section-by-Section Outline</w:t>
      </w:r>
    </w:p>
    <w:p>
      <w:pPr>
        <w:spacing w:after="80"/>
        <w:jc w:val="center"/>
      </w:pPr>
      <w:r>
        <w:rPr>
          <w:rFonts w:ascii="Times New Roman" w:cs="Times New Roman" w:eastAsia="Times New Roman" w:hAnsi="Times New Roman"/>
          <w:sz w:val="24"/>
          <w:szCs w:val="24"/>
        </w:rPr>
        <w:t xml:space="preserve">Rick Antle (Yale School of Management) and John Fellingham (Ohio State University)</w:t>
      </w:r>
    </w:p>
    <w:p>
      <w:pPr>
        <w:spacing w:after="80"/>
        <w:jc w:val="center"/>
      </w:pPr>
      <w:r>
        <w:rPr>
          <w:rFonts w:ascii="Times New Roman" w:cs="Times New Roman" w:eastAsia="Times New Roman" w:hAnsi="Times New Roman"/>
          <w:i/>
          <w:iCs/>
          <w:sz w:val="24"/>
          <w:szCs w:val="24"/>
        </w:rPr>
        <w:t xml:space="preserve">Target Journal: Accounting Horizons</w:t>
      </w:r>
    </w:p>
    <w:p>
      <w:pPr>
        <w:spacing w:after="360"/>
        <w:jc w:val="center"/>
      </w:pPr>
      <w:r>
        <w:rPr>
          <w:rFonts w:ascii="Times New Roman" w:cs="Times New Roman" w:eastAsia="Times New Roman" w:hAnsi="Times New Roman"/>
          <w:sz w:val="24"/>
          <w:szCs w:val="24"/>
        </w:rPr>
        <w:t xml:space="preserve">Working Draft — March 2026</w:t>
      </w:r>
    </w:p>
    <w:p>
      <w:pPr>
        <w:pBdr>
          <w:bottom w:val="single" w:color="999999" w:sz="6" w:space="1"/>
        </w:pBdr>
        <w:spacing w:after="240"/>
      </w:pPr>
    </w:p>
    <w:p>
      <w:pPr>
        <w:pStyle w:val="Heading1"/>
        <w:spacing w:after="180" w:before="120"/>
      </w:pPr>
      <w:r>
        <w:rPr>
          <w:rFonts w:ascii="Times New Roman" w:cs="Times New Roman" w:eastAsia="Times New Roman" w:hAnsi="Times New Roman"/>
          <w:b/>
          <w:bCs/>
          <w:sz w:val="32"/>
          <w:szCs w:val="32"/>
        </w:rPr>
        <w:t xml:space="preserve">Governing Constraints</w:t>
      </w:r>
    </w:p>
    <w:p>
      <w:pPr>
        <w:spacing w:after="200" w:line="276"/>
      </w:pPr>
      <w:r>
        <w:rPr>
          <w:rFonts w:ascii="Times New Roman" w:cs="Times New Roman" w:eastAsia="Times New Roman" w:hAnsi="Times New Roman"/>
          <w:sz w:val="24"/>
          <w:szCs w:val="24"/>
        </w:rPr>
        <w:t xml:space="preserve">The following structural decisions govern the article’s architecture. They were settled in early planning conversations and should be treated as binding unless explicitly revisited.</w:t>
      </w:r>
    </w:p>
    <w:p>
      <w:pPr>
        <w:spacing w:after="200" w:line="276"/>
      </w:pPr>
      <w:r>
        <w:rPr>
          <w:rFonts w:ascii="Times New Roman" w:cs="Times New Roman" w:eastAsia="Times New Roman" w:hAnsi="Times New Roman"/>
          <w:sz w:val="24"/>
          <w:szCs w:val="24"/>
        </w:rPr>
        <w:t xml:space="preserve">(1) Do not make the pipeline crisis the centerpiece; acknowledge it briefly and move on. (2) Lead with an intellectually felt pedagogical problem—the adjusting-entries breakdown as a symptom of paradigm failure—not with institutional hand-wringing. (3) Cite Beaver and Demski briefly as theoretical corroboration; do not prosecute the argument at length. (4) Defend the double-entry structure and the role of debits and credits against the “conceptual approach” that dispenses with journal entries. (5) Treat private information asymmetry as the motivating premise of the information-processing framework—accounting exists because information is unevenly distributed. (6) The positive case is that the information-processing framework is both more coherent and more generative as a teaching foundation—not merely instrumentally better, but theoretically correct.</w:t>
      </w:r>
    </w:p>
    <w:p>
      <w:pPr>
        <w:pBdr>
          <w:bottom w:val="single" w:color="999999" w:sz="6" w:space="1"/>
        </w:pBdr>
        <w:spacing w:after="240" w:before="240"/>
      </w:pPr>
    </w:p>
    <w:p>
      <w:pPr>
        <w:pStyle w:val="Heading1"/>
        <w:spacing w:after="240" w:before="120"/>
      </w:pPr>
      <w:r>
        <w:rPr>
          <w:rFonts w:ascii="Times New Roman" w:cs="Times New Roman" w:eastAsia="Times New Roman" w:hAnsi="Times New Roman"/>
          <w:b/>
          <w:bCs/>
          <w:sz w:val="32"/>
          <w:szCs w:val="32"/>
        </w:rPr>
        <w:t xml:space="preserve">Article Outline</w:t>
      </w:r>
    </w:p>
    <w:p>
      <w:pPr>
        <w:pStyle w:val="Heading2"/>
        <w:spacing w:after="180" w:before="360"/>
      </w:pPr>
      <w:r>
        <w:rPr>
          <w:rFonts w:ascii="Times New Roman" w:cs="Times New Roman" w:eastAsia="Times New Roman" w:hAnsi="Times New Roman"/>
          <w:b/>
          <w:bCs/>
          <w:sz w:val="28"/>
          <w:szCs w:val="28"/>
        </w:rPr>
        <w:t xml:space="preserve">Section 1: The Adjusting-Entries Problem</w:t>
      </w:r>
    </w:p>
    <w:p>
      <w:pPr>
        <w:spacing w:after="200" w:line="276"/>
      </w:pPr>
      <w:r>
        <w:rPr>
          <w:rFonts w:ascii="Times New Roman" w:cs="Times New Roman" w:eastAsia="Times New Roman" w:hAnsi="Times New Roman"/>
          <w:sz w:val="24"/>
          <w:szCs w:val="24"/>
        </w:rPr>
        <w:t xml:space="preserve">The article opens not with a survey of the pipeline crisis or a lament about declining enrollments, but with a concrete, felt difficulty that every accounting instructor recognizes: students cannot handle adjusting entries. Depreciation, accrued interest, prepaid amortization—these entries reliably defeat students who otherwise seem to understand transactions. The section argues that this is not a failure of effort or pedagogy; it is a symptom. Adjusting entries are unintelligible under the measurement paradigm because nothing is being “measured” in any intuitive sense. No transaction has occurred. No money has changed hands. The student who has been told that accounting is about measuring economic reality has no framework for understanding why an entry is needed when nothing observable has happened. This opening is designed to earn the reader’s attention by naming a problem they have personally experienced, before offering a diagnosis.</w:t>
      </w:r>
    </w:p>
    <w:p>
      <w:pPr>
        <w:spacing w:after="200" w:line="276"/>
      </w:pPr>
      <w:r>
        <w:rPr>
          <w:rFonts w:ascii="Times New Roman" w:cs="Times New Roman" w:eastAsia="Times New Roman" w:hAnsi="Times New Roman"/>
          <w:b/>
          <w:bCs/>
          <w:sz w:val="24"/>
          <w:szCs w:val="24"/>
        </w:rPr>
        <w:t xml:space="preserve">Key sources and examples: </w:t>
      </w:r>
      <w:r>
        <w:rPr>
          <w:rFonts w:ascii="Times New Roman" w:cs="Times New Roman" w:eastAsia="Times New Roman" w:hAnsi="Times New Roman"/>
          <w:sz w:val="24"/>
          <w:szCs w:val="24"/>
        </w:rPr>
        <w:t xml:space="preserve">Classroom experience; standard introductory textbooks (e.g., Libby, Kimmel, Weygandt) as evidence of the measurement framing; student performance data on adjusting entries if available.</w:t>
      </w:r>
    </w:p>
    <w:p>
      <w:pPr>
        <w:pStyle w:val="Heading2"/>
        <w:spacing w:after="180" w:before="360"/>
      </w:pPr>
      <w:r>
        <w:rPr>
          <w:rFonts w:ascii="Times New Roman" w:cs="Times New Roman" w:eastAsia="Times New Roman" w:hAnsi="Times New Roman"/>
          <w:b/>
          <w:bCs/>
          <w:sz w:val="28"/>
          <w:szCs w:val="28"/>
        </w:rPr>
        <w:t xml:space="preserve">Section 2: The Measurement Paradigm and Its Discontents</w:t>
      </w:r>
    </w:p>
    <w:p>
      <w:pPr>
        <w:spacing w:after="200" w:line="276"/>
      </w:pPr>
      <w:r>
        <w:rPr>
          <w:rFonts w:ascii="Times New Roman" w:cs="Times New Roman" w:eastAsia="Times New Roman" w:hAnsi="Times New Roman"/>
          <w:sz w:val="24"/>
          <w:szCs w:val="24"/>
        </w:rPr>
        <w:t xml:space="preserve">Having established the symptom, this section diagnoses the disease. It describes how the measurement paradigm became the default conceptual framework for introductory accounting: the FASB Conceptual Framework, textbook presentations, and decades of curricular inertia. Measurement treats the accountant as analogous to a scientist wielding instruments of varying precision against economic phenomena that exist independently of the accounting system. Assets have “true” values that we approximate; income is a quantity we try to capture accurately; the balance sheet is a photograph, blurry perhaps, but pointed at something real. The section explains why this framing is not merely incomplete but actively misleading. It produces students who misunderstand what they are doing when they make journal entries, who cannot see why adjusting entries are necessary, and who later fail to appreciate the judgment at the heart of accounting work. The pipeline crisis and AAA task force receive a brief acknowledgment here—framed as a reasonable but insufficient response, since best practices cannot cure a paradigm problem.</w:t>
      </w:r>
    </w:p>
    <w:p>
      <w:pPr>
        <w:spacing w:after="200" w:line="276"/>
      </w:pPr>
      <w:r>
        <w:rPr>
          <w:rFonts w:ascii="Times New Roman" w:cs="Times New Roman" w:eastAsia="Times New Roman" w:hAnsi="Times New Roman"/>
          <w:b/>
          <w:bCs/>
          <w:sz w:val="24"/>
          <w:szCs w:val="24"/>
        </w:rPr>
        <w:t xml:space="preserve">Key sources and examples: </w:t>
      </w:r>
      <w:r>
        <w:rPr>
          <w:rFonts w:ascii="Times New Roman" w:cs="Times New Roman" w:eastAsia="Times New Roman" w:hAnsi="Times New Roman"/>
          <w:sz w:val="24"/>
          <w:szCs w:val="24"/>
        </w:rPr>
        <w:t xml:space="preserve">FASB Conceptual Framework (SFAC No. 8); AAA task force on accounting education and the pipeline crisis; representative textbook definitions of accounting as measurement.</w:t>
      </w:r>
    </w:p>
    <w:p>
      <w:pPr>
        <w:pStyle w:val="Heading2"/>
        <w:spacing w:after="180" w:before="360"/>
      </w:pPr>
      <w:r>
        <w:rPr>
          <w:rFonts w:ascii="Times New Roman" w:cs="Times New Roman" w:eastAsia="Times New Roman" w:hAnsi="Times New Roman"/>
          <w:b/>
          <w:bCs/>
          <w:sz w:val="28"/>
          <w:szCs w:val="28"/>
        </w:rPr>
        <w:t xml:space="preserve">Section 3: The Theoretical Crack: Beaver and Demski on Income Measurement</w:t>
      </w:r>
    </w:p>
    <w:p>
      <w:pPr>
        <w:spacing w:after="200" w:line="276"/>
      </w:pPr>
      <w:r>
        <w:rPr>
          <w:rFonts w:ascii="Times New Roman" w:cs="Times New Roman" w:eastAsia="Times New Roman" w:hAnsi="Times New Roman"/>
          <w:sz w:val="24"/>
          <w:szCs w:val="24"/>
        </w:rPr>
        <w:t xml:space="preserve">This short section provides the theoretical warrant for abandoning the measurement paradigm. Beaver and Demski (1979) showed that income measurement is theoretically well-defined only under conditions—complete markets, no genuine uncertainty—that render accounting redundant. Under realistic conditions (incomplete markets, genuine uncertainty, private information), measurement is either redundant or arbitrary. The result is cited as a witness for the prosecution: one or two paragraphs establishing the point, not a full restatement of the proof. The section closes by noting that the accounting profession and the academy largely absorbed this result without changing how they taught introductory courses—a remarkable case of theoretical knowledge failing to reach pedagogical practice.</w:t>
      </w:r>
    </w:p>
    <w:p>
      <w:pPr>
        <w:spacing w:after="200" w:line="276"/>
      </w:pPr>
      <w:r>
        <w:rPr>
          <w:rFonts w:ascii="Times New Roman" w:cs="Times New Roman" w:eastAsia="Times New Roman" w:hAnsi="Times New Roman"/>
          <w:b/>
          <w:bCs/>
          <w:sz w:val="24"/>
          <w:szCs w:val="24"/>
        </w:rPr>
        <w:t xml:space="preserve">Key sources and examples: </w:t>
      </w:r>
      <w:r>
        <w:rPr>
          <w:rFonts w:ascii="Times New Roman" w:cs="Times New Roman" w:eastAsia="Times New Roman" w:hAnsi="Times New Roman"/>
          <w:sz w:val="24"/>
          <w:szCs w:val="24"/>
        </w:rPr>
        <w:t xml:space="preserve">Beaver and Demski (1979), “The Nature of Income Measurement” (The Accounting Review). Brief citation only; do not reproduce the formal argument.</w:t>
      </w:r>
    </w:p>
    <w:p>
      <w:pPr>
        <w:pStyle w:val="Heading2"/>
        <w:spacing w:after="180" w:before="360"/>
      </w:pPr>
      <w:r>
        <w:rPr>
          <w:rFonts w:ascii="Times New Roman" w:cs="Times New Roman" w:eastAsia="Times New Roman" w:hAnsi="Times New Roman"/>
          <w:b/>
          <w:bCs/>
          <w:sz w:val="28"/>
          <w:szCs w:val="28"/>
        </w:rPr>
        <w:t xml:space="preserve">Section 4: Private Information as the Motivating Premise</w:t>
      </w:r>
    </w:p>
    <w:p>
      <w:pPr>
        <w:spacing w:after="200" w:line="276"/>
      </w:pPr>
      <w:r>
        <w:rPr>
          <w:rFonts w:ascii="Times New Roman" w:cs="Times New Roman" w:eastAsia="Times New Roman" w:hAnsi="Times New Roman"/>
          <w:sz w:val="24"/>
          <w:szCs w:val="24"/>
        </w:rPr>
        <w:t xml:space="preserve">If the measurement paradigm collapses under realistic conditions, what takes its place? This section introduces the answer: accounting exists because information is asymmetrically distributed. Some people know things that others do not—managers know more than investors, sellers know more than buyers, insiders know more than outsiders. The purpose of accounting is to process private information into public signals that reduce this asymmetry. This is not an incidental feature of accounting; it is the reason accounting exists at all. The section makes the case that private information asymmetry, not measurement of pre-existing economic reality, is the correct starting premise for understanding what accounting does and why it matters. Under this premise, every accounting act—recognition, classification, aggregation, disclosure—is an act of information processing aimed at reducing the gap between what insiders know and what outsiders can observe.</w:t>
      </w:r>
    </w:p>
    <w:p>
      <w:pPr>
        <w:spacing w:after="200" w:line="276"/>
      </w:pPr>
      <w:r>
        <w:rPr>
          <w:rFonts w:ascii="Times New Roman" w:cs="Times New Roman" w:eastAsia="Times New Roman" w:hAnsi="Times New Roman"/>
          <w:b/>
          <w:bCs/>
          <w:sz w:val="24"/>
          <w:szCs w:val="24"/>
        </w:rPr>
        <w:t xml:space="preserve">Key sources and examples: </w:t>
      </w:r>
      <w:r>
        <w:rPr>
          <w:rFonts w:ascii="Times New Roman" w:cs="Times New Roman" w:eastAsia="Times New Roman" w:hAnsi="Times New Roman"/>
          <w:sz w:val="24"/>
          <w:szCs w:val="24"/>
        </w:rPr>
        <w:t xml:space="preserve">Antle and Fellingham work on information rents and information systems (JAER 1995); the broader information economics literature (Christensen and Demski, Accounting Theory: An Information Content Perspective); practical examples of information asymmetry (earnings management, insider trading, audit failures).</w:t>
      </w:r>
    </w:p>
    <w:p>
      <w:pPr>
        <w:pStyle w:val="Heading2"/>
        <w:spacing w:after="180" w:before="360"/>
      </w:pPr>
      <w:r>
        <w:rPr>
          <w:rFonts w:ascii="Times New Roman" w:cs="Times New Roman" w:eastAsia="Times New Roman" w:hAnsi="Times New Roman"/>
          <w:b/>
          <w:bCs/>
          <w:sz w:val="28"/>
          <w:szCs w:val="28"/>
        </w:rPr>
        <w:t xml:space="preserve">Section 5: Accounting as Information Processing: The Framework</w:t>
      </w:r>
    </w:p>
    <w:p>
      <w:pPr>
        <w:spacing w:after="200" w:line="276"/>
      </w:pPr>
      <w:r>
        <w:rPr>
          <w:rFonts w:ascii="Times New Roman" w:cs="Times New Roman" w:eastAsia="Times New Roman" w:hAnsi="Times New Roman"/>
          <w:sz w:val="24"/>
          <w:szCs w:val="24"/>
        </w:rPr>
        <w:t xml:space="preserve">This is the centerpiece of the article. It lays out the positive case: accounting is information processing—the systematic recognition, classification, aggregation, and communication of information about economic events and conditions. The key word is information, and the key shift is in the question that students learn to ask. Under the measurement paradigm, the student asks: “What is the correct value?” Under the information-processing paradigm, the student asks: “What information do we have, and does it belong in the accounts?” Recognition—the decision to incorporate information into the formal records—becomes the central act. Recognition is not measurement; it precedes measurement. Before you can assign a number to anything, you must first decide that the information belongs in the accounts at all. The section walks through the taxonomy of information sources (transactions, passage of time, external events, internal reassessments) and shows how each type of adjusting entry becomes intelligible once students understand that the passage of time is itself information. This framework handles every accounting entry—routine and adjusting alike—through a single, consistent logic.</w:t>
      </w:r>
    </w:p>
    <w:p>
      <w:pPr>
        <w:spacing w:after="200" w:line="276"/>
      </w:pPr>
      <w:r>
        <w:rPr>
          <w:rFonts w:ascii="Times New Roman" w:cs="Times New Roman" w:eastAsia="Times New Roman" w:hAnsi="Times New Roman"/>
          <w:b/>
          <w:bCs/>
          <w:sz w:val="24"/>
          <w:szCs w:val="24"/>
        </w:rPr>
        <w:t xml:space="preserve">Key sources and examples: </w:t>
      </w:r>
      <w:r>
        <w:rPr>
          <w:rFonts w:ascii="Times New Roman" w:cs="Times New Roman" w:eastAsia="Times New Roman" w:hAnsi="Times New Roman"/>
          <w:sz w:val="24"/>
          <w:szCs w:val="24"/>
        </w:rPr>
        <w:t xml:space="preserve">Antle manifesto draft (March 2026), especially the sections on recognition and sources of information; examples: cash sale (information arrives via transaction), accrued interest (information arrives via passage of time), impairment (information arrives via reassessment).</w:t>
      </w:r>
    </w:p>
    <w:p>
      <w:pPr>
        <w:pStyle w:val="Heading2"/>
        <w:spacing w:after="180" w:before="360"/>
      </w:pPr>
      <w:r>
        <w:rPr>
          <w:rFonts w:ascii="Times New Roman" w:cs="Times New Roman" w:eastAsia="Times New Roman" w:hAnsi="Times New Roman"/>
          <w:b/>
          <w:bCs/>
          <w:sz w:val="28"/>
          <w:szCs w:val="28"/>
        </w:rPr>
        <w:t xml:space="preserve">Section 6: In Defense of Double Entry: Why the Structure Matters</w:t>
      </w:r>
    </w:p>
    <w:p>
      <w:pPr>
        <w:spacing w:after="200" w:line="276"/>
      </w:pPr>
      <w:r>
        <w:rPr>
          <w:rFonts w:ascii="Times New Roman" w:cs="Times New Roman" w:eastAsia="Times New Roman" w:hAnsi="Times New Roman"/>
          <w:sz w:val="24"/>
          <w:szCs w:val="24"/>
        </w:rPr>
        <w:t xml:space="preserve">Some instructors, dissatisfied with the measurement paradigm, have adopted a “conceptual approach” that dispenses with journal entries, debits and credits, and T-accounts in favor of a purely conceptual treatment of the financial statements. This section argues that the conceptual approach, while well-intentioned, concedes too much. The double-entry structure is not mere bookkeeping convention; it is an information architecture with specific, demonstrable properties. It enforces articulation between the accrual-basis income statement, the balance sheet, and the cash flow statement. It imposes a discipline—the accounting identity must be preserved—that is itself informative. And as Antle, Fellingham, Lin, and Schroeder have shown, it has a two-bit transmission capacity per entry that is a structural feature of the system, not a pedagogical convenience. The information-processing framework actually needs the double-entry structure to be intelligible: you cannot discuss processing without discussing the processor. Removing debits and credits does not simplify accounting; it removes the architecture that makes accounting’s information-processing function visible.</w:t>
      </w:r>
    </w:p>
    <w:p>
      <w:pPr>
        <w:spacing w:after="200" w:line="276"/>
      </w:pPr>
      <w:r>
        <w:rPr>
          <w:rFonts w:ascii="Times New Roman" w:cs="Times New Roman" w:eastAsia="Times New Roman" w:hAnsi="Times New Roman"/>
          <w:b/>
          <w:bCs/>
          <w:sz w:val="24"/>
          <w:szCs w:val="24"/>
        </w:rPr>
        <w:t xml:space="preserve">Key sources and examples: </w:t>
      </w:r>
      <w:r>
        <w:rPr>
          <w:rFonts w:ascii="Times New Roman" w:cs="Times New Roman" w:eastAsia="Times New Roman" w:hAnsi="Times New Roman"/>
          <w:sz w:val="24"/>
          <w:szCs w:val="24"/>
        </w:rPr>
        <w:t xml:space="preserve">Antle, Fellingham, Lin, and Schroeder on two-bit transmission capacity; Antle’s Notes on Principles of Accounting (2024) on the accounting identity as a structural constraint; the “conceptual approach” literature (e.g., instructors who omit journal entries).</w:t>
      </w:r>
    </w:p>
    <w:p>
      <w:pPr>
        <w:pStyle w:val="Heading2"/>
        <w:spacing w:after="180" w:before="360"/>
      </w:pPr>
      <w:r>
        <w:rPr>
          <w:rFonts w:ascii="Times New Roman" w:cs="Times New Roman" w:eastAsia="Times New Roman" w:hAnsi="Times New Roman"/>
          <w:b/>
          <w:bCs/>
          <w:sz w:val="28"/>
          <w:szCs w:val="28"/>
        </w:rPr>
        <w:t xml:space="preserve">Section 7: Implications for the Introductory Course</w:t>
      </w:r>
    </w:p>
    <w:p>
      <w:pPr>
        <w:spacing w:after="200" w:line="276"/>
      </w:pPr>
      <w:r>
        <w:rPr>
          <w:rFonts w:ascii="Times New Roman" w:cs="Times New Roman" w:eastAsia="Times New Roman" w:hAnsi="Times New Roman"/>
          <w:sz w:val="24"/>
          <w:szCs w:val="24"/>
        </w:rPr>
        <w:t xml:space="preserve">Having made the theoretical case, this section turns practical. What would an introductory accounting course look like if it were rebuilt on the information-processing foundation? The section sketches the main pedagogical shifts: (a) the course opens with the question “Why does accounting exist?” answered by reference to information asymmetry, not by the FASB’s conceptual framework; (b) recognition replaces measurement as the governing concept; (c) adjusting entries are taught as natural consequences of the information-processing logic, not as a separate and mysterious category; (d) debits and credits are retained, taught as the architecture of the information processor; (e) the cash flow statement is presented as a derivative of the same information-processing system, not as an independent report. The section should be concrete enough that an instructor reading it can see how to restructure a syllabus, but not so prescriptive that it becomes a textbook outline.</w:t>
      </w:r>
    </w:p>
    <w:p>
      <w:pPr>
        <w:spacing w:after="200" w:line="276"/>
      </w:pPr>
      <w:r>
        <w:rPr>
          <w:rFonts w:ascii="Times New Roman" w:cs="Times New Roman" w:eastAsia="Times New Roman" w:hAnsi="Times New Roman"/>
          <w:b/>
          <w:bCs/>
          <w:sz w:val="24"/>
          <w:szCs w:val="24"/>
        </w:rPr>
        <w:t xml:space="preserve">Key sources and examples: </w:t>
      </w:r>
      <w:r>
        <w:rPr>
          <w:rFonts w:ascii="Times New Roman" w:cs="Times New Roman" w:eastAsia="Times New Roman" w:hAnsi="Times New Roman"/>
          <w:sz w:val="24"/>
          <w:szCs w:val="24"/>
        </w:rPr>
        <w:t xml:space="preserve">Antle and Garstka, Financial Accounting (2004)—the authors’ own textbook as a partial precedent; the manifesto draft’s treatment of the introductory course; practical examples of how specific topics (revenue recognition, depreciation, inventory) are reframed.</w:t>
      </w:r>
    </w:p>
    <w:p>
      <w:pPr>
        <w:pStyle w:val="Heading2"/>
        <w:spacing w:after="180" w:before="360"/>
      </w:pPr>
      <w:r>
        <w:rPr>
          <w:rFonts w:ascii="Times New Roman" w:cs="Times New Roman" w:eastAsia="Times New Roman" w:hAnsi="Times New Roman"/>
          <w:b/>
          <w:bCs/>
          <w:sz w:val="28"/>
          <w:szCs w:val="28"/>
        </w:rPr>
        <w:t xml:space="preserve">Section 8: Conclusion: Not Just Better Teaching, but a Better Theory</w:t>
      </w:r>
    </w:p>
    <w:p>
      <w:pPr>
        <w:spacing w:after="200" w:line="276"/>
      </w:pPr>
      <w:r>
        <w:rPr>
          <w:rFonts w:ascii="Times New Roman" w:cs="Times New Roman" w:eastAsia="Times New Roman" w:hAnsi="Times New Roman"/>
          <w:sz w:val="24"/>
          <w:szCs w:val="24"/>
        </w:rPr>
        <w:t xml:space="preserve">The closing section makes the final move: the information-processing framework is not merely instrumentally better (though it is—it makes adjusting entries intelligible, it gives students a consistent logic, it retains the structural discipline of double entry). It is also theoretically correct. The measurement paradigm fails on its own terms; the information-processing paradigm succeeds. Accounting is not an imperfect measurement of economic reality. Accounting is a system for processing private information into public signals in a world where information is asymmetrically distributed, markets are incomplete, and genuine uncertainty is irreducible. This conclusion is the article’s strongest claim, and it should be stated plainly. The section closes by noting that teaching accounting correctly is inseparable from understanding accounting correctly—and that the framework proposed here serves both purposes.</w:t>
      </w:r>
    </w:p>
    <w:p>
      <w:pPr>
        <w:spacing w:after="200" w:line="276"/>
      </w:pPr>
      <w:r>
        <w:rPr>
          <w:rFonts w:ascii="Times New Roman" w:cs="Times New Roman" w:eastAsia="Times New Roman" w:hAnsi="Times New Roman"/>
          <w:b/>
          <w:bCs/>
          <w:sz w:val="24"/>
          <w:szCs w:val="24"/>
        </w:rPr>
        <w:t xml:space="preserve">Key sources and examples: </w:t>
      </w:r>
      <w:r>
        <w:rPr>
          <w:rFonts w:ascii="Times New Roman" w:cs="Times New Roman" w:eastAsia="Times New Roman" w:hAnsi="Times New Roman"/>
          <w:sz w:val="24"/>
          <w:szCs w:val="24"/>
        </w:rPr>
        <w:t xml:space="preserve">Recapitulation of Beaver-Demski (brief); restatement of the private-information premise; forward reference to the authors’ ongoing work on information-processing models of accounting.</w:t>
      </w:r>
    </w:p>
    <w:p>
      <w:pPr>
        <w:pBdr>
          <w:bottom w:val="single" w:color="999999" w:sz="6" w:space="1"/>
        </w:pBdr>
        <w:spacing w:after="240" w:before="360"/>
      </w:pPr>
    </w:p>
    <w:p>
      <w:pPr>
        <w:pStyle w:val="Heading1"/>
        <w:spacing w:after="180" w:before="120"/>
      </w:pPr>
      <w:r>
        <w:rPr>
          <w:rFonts w:ascii="Times New Roman" w:cs="Times New Roman" w:eastAsia="Times New Roman" w:hAnsi="Times New Roman"/>
          <w:b/>
          <w:bCs/>
          <w:sz w:val="32"/>
          <w:szCs w:val="32"/>
        </w:rPr>
        <w:t xml:space="preserve">Notes on Tone and Audience</w:t>
      </w:r>
    </w:p>
    <w:p>
      <w:pPr>
        <w:spacing w:after="200" w:line="276"/>
      </w:pPr>
      <w:r>
        <w:rPr>
          <w:rFonts w:ascii="Times New Roman" w:cs="Times New Roman" w:eastAsia="Times New Roman" w:hAnsi="Times New Roman"/>
          <w:sz w:val="24"/>
          <w:szCs w:val="24"/>
        </w:rPr>
        <w:t xml:space="preserve">Accounting Horizons reaches a mixed audience of academics and practitioners who care about accounting education. The article should be assertive but collegial—it is proposing a paradigm shift, not settling scores. The AAA task force should be treated with respect (Rick is a member); the critique is of the paradigm, not of colleagues’ good-faith efforts. Beaver and Demski should be invoked with admiration, not weaponized. The conceptual-approach instructors should be treated as allies who have correctly diagnosed the problem but chosen the wrong remedy. Throughout, the prose should be lucid, concrete, and free of unnecessary formalism—this is a teaching article as much as a theory article, and it should model the clarity it advocates.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sz w:val="36"/>
      <w:szCs w:val="36"/>
    </w:rPr>
  </w:style>
  <w:style w:type="paragraph" w:styleId="Heading2">
    <w:name w:val="Heading 2"/>
    <w:basedOn w:val="Normal"/>
    <w:next w:val="Normal"/>
    <w:qFormat/>
    <w:pPr>
      <w:spacing w:after="180" w:before="240"/>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2026-03-20T19:38:31.782Z</dcterms:created>
  <dcterms:modified xsi:type="dcterms:W3CDTF">2026-03-20T19:38:31.782Z</dcterms:modified>
</cp:coreProperties>
</file>

<file path=docProps/custom.xml><?xml version="1.0" encoding="utf-8"?>
<Properties xmlns="http://schemas.openxmlformats.org/officeDocument/2006/custom-properties" xmlns:vt="http://schemas.openxmlformats.org/officeDocument/2006/docPropsVTypes"/>
</file>