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BADB0" w14:textId="77777777" w:rsidR="004F086F" w:rsidRPr="0015433E" w:rsidRDefault="00F65B6D">
      <w:pPr>
        <w:spacing w:before="97"/>
        <w:ind w:left="110"/>
        <w:rPr>
          <w:b/>
          <w:i/>
          <w:sz w:val="36"/>
          <w:szCs w:val="36"/>
        </w:rPr>
      </w:pPr>
      <w:r w:rsidRPr="0015433E">
        <w:rPr>
          <w:b/>
          <w:i/>
          <w:w w:val="105"/>
          <w:sz w:val="36"/>
          <w:szCs w:val="36"/>
        </w:rPr>
        <w:t>Cash and Cash Equivalents</w:t>
      </w:r>
    </w:p>
    <w:p w14:paraId="254BADB1" w14:textId="77777777" w:rsidR="004F086F" w:rsidRPr="0015433E" w:rsidRDefault="004F086F">
      <w:pPr>
        <w:pStyle w:val="BodyText"/>
        <w:spacing w:before="2"/>
        <w:rPr>
          <w:b/>
          <w:i/>
          <w:sz w:val="36"/>
          <w:szCs w:val="36"/>
        </w:rPr>
      </w:pPr>
    </w:p>
    <w:p w14:paraId="254BADB2" w14:textId="285275E0" w:rsidR="004F086F" w:rsidRDefault="00F65B6D">
      <w:pPr>
        <w:pStyle w:val="BodyText"/>
        <w:tabs>
          <w:tab w:val="left" w:pos="10016"/>
        </w:tabs>
        <w:spacing w:line="247" w:lineRule="auto"/>
        <w:ind w:left="110" w:right="101"/>
        <w:rPr>
          <w:w w:val="105"/>
          <w:sz w:val="36"/>
          <w:szCs w:val="36"/>
        </w:rPr>
      </w:pPr>
      <w:r w:rsidRPr="0015433E">
        <w:rPr>
          <w:w w:val="105"/>
          <w:sz w:val="36"/>
          <w:szCs w:val="36"/>
        </w:rPr>
        <w:t>Cash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and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cash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equivalents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consist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of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cash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and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temporary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investments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with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maturities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of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three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months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or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less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when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purchased.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The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Company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invests</w:t>
      </w:r>
      <w:r w:rsidRPr="0015433E">
        <w:rPr>
          <w:spacing w:val="-10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in</w:t>
      </w:r>
      <w:r w:rsidRPr="0015433E">
        <w:rPr>
          <w:spacing w:val="-9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short-term money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market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funds,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commercial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paper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and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time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deposits,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as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well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as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other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debt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securities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that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are</w:t>
      </w:r>
      <w:r w:rsidRPr="0015433E">
        <w:rPr>
          <w:spacing w:val="-8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classified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as</w:t>
      </w:r>
      <w:r w:rsidRPr="0015433E">
        <w:rPr>
          <w:spacing w:val="-7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</w:t>
      </w:r>
      <w:r w:rsidR="00BA2A69">
        <w:rPr>
          <w:w w:val="105"/>
          <w:sz w:val="36"/>
          <w:szCs w:val="36"/>
        </w:rPr>
        <w:t xml:space="preserve">ash and </w:t>
      </w:r>
      <w:r w:rsidR="00082764">
        <w:rPr>
          <w:w w:val="105"/>
          <w:sz w:val="36"/>
          <w:szCs w:val="36"/>
        </w:rPr>
        <w:t>within the ac</w:t>
      </w:r>
      <w:r w:rsidRPr="0015433E">
        <w:rPr>
          <w:w w:val="105"/>
          <w:sz w:val="36"/>
          <w:szCs w:val="36"/>
        </w:rPr>
        <w:t>companying consolidated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balance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sheets,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as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these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funds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are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highly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liquid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and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readily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convertible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to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known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amounts</w:t>
      </w:r>
      <w:r w:rsidRPr="0015433E">
        <w:rPr>
          <w:spacing w:val="-3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of</w:t>
      </w:r>
      <w:r w:rsidRPr="0015433E">
        <w:rPr>
          <w:spacing w:val="-2"/>
          <w:w w:val="105"/>
          <w:sz w:val="36"/>
          <w:szCs w:val="36"/>
        </w:rPr>
        <w:t xml:space="preserve"> </w:t>
      </w:r>
      <w:r w:rsidRPr="0015433E">
        <w:rPr>
          <w:w w:val="105"/>
          <w:sz w:val="36"/>
          <w:szCs w:val="36"/>
        </w:rPr>
        <w:t>cash.</w:t>
      </w:r>
    </w:p>
    <w:p w14:paraId="7E80C9E5" w14:textId="2DCE46E3" w:rsidR="00E56A0C" w:rsidRPr="009D1FC9" w:rsidRDefault="00E56A0C" w:rsidP="009D1FC9">
      <w:pPr>
        <w:spacing w:before="97"/>
        <w:ind w:left="110"/>
        <w:rPr>
          <w:b/>
          <w:i/>
          <w:w w:val="105"/>
          <w:sz w:val="36"/>
          <w:szCs w:val="36"/>
        </w:rPr>
      </w:pPr>
    </w:p>
    <w:p w14:paraId="4AAD08C9" w14:textId="5E9307A2" w:rsidR="009D1FC9" w:rsidRPr="009D1FC9" w:rsidRDefault="009D1FC9" w:rsidP="009D1FC9">
      <w:pPr>
        <w:spacing w:before="97"/>
        <w:ind w:left="110"/>
        <w:rPr>
          <w:b/>
          <w:i/>
          <w:w w:val="105"/>
          <w:sz w:val="36"/>
          <w:szCs w:val="36"/>
        </w:rPr>
      </w:pPr>
      <w:r w:rsidRPr="009D1FC9">
        <w:rPr>
          <w:b/>
          <w:i/>
          <w:w w:val="105"/>
          <w:sz w:val="36"/>
          <w:szCs w:val="36"/>
        </w:rPr>
        <w:t>Investments</w:t>
      </w:r>
    </w:p>
    <w:p w14:paraId="4998B50E" w14:textId="77777777" w:rsidR="009D1FC9" w:rsidRPr="009D1FC9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6B36F191" w14:textId="77777777" w:rsidR="009D1FC9" w:rsidRPr="009D1FC9" w:rsidRDefault="009D1FC9" w:rsidP="009D1FC9">
      <w:pPr>
        <w:spacing w:before="97"/>
        <w:ind w:left="110"/>
        <w:rPr>
          <w:bCs/>
          <w:i/>
          <w:w w:val="105"/>
          <w:sz w:val="36"/>
          <w:szCs w:val="36"/>
        </w:rPr>
      </w:pPr>
      <w:r w:rsidRPr="009D1FC9">
        <w:rPr>
          <w:bCs/>
          <w:i/>
          <w:w w:val="105"/>
          <w:sz w:val="36"/>
          <w:szCs w:val="36"/>
        </w:rPr>
        <w:t>Debt Securities</w:t>
      </w:r>
    </w:p>
    <w:p w14:paraId="3BE5BC2E" w14:textId="77777777" w:rsidR="009D1FC9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479CB757" w14:textId="77777777" w:rsidR="00662655" w:rsidRDefault="009D1FC9" w:rsidP="00662655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9D1FC9">
        <w:rPr>
          <w:sz w:val="36"/>
          <w:szCs w:val="36"/>
        </w:rPr>
        <w:t>Debt securities consist primarily of U.S. Treasury and agency securities, mortgage-backed securities, corporate and foreign bonds and other debt securities. Debt</w:t>
      </w:r>
      <w:r>
        <w:rPr>
          <w:sz w:val="36"/>
          <w:szCs w:val="36"/>
        </w:rPr>
        <w:t xml:space="preserve"> </w:t>
      </w:r>
      <w:r w:rsidRPr="009D1FC9">
        <w:rPr>
          <w:sz w:val="36"/>
          <w:szCs w:val="36"/>
        </w:rPr>
        <w:t>securities are classified as either current or long-term investments based on their contractual maturities unless the Company intends to sell an investment within the</w:t>
      </w:r>
      <w:r>
        <w:rPr>
          <w:sz w:val="36"/>
          <w:szCs w:val="36"/>
        </w:rPr>
        <w:t xml:space="preserve"> </w:t>
      </w:r>
      <w:r w:rsidRPr="009D1FC9">
        <w:rPr>
          <w:sz w:val="36"/>
          <w:szCs w:val="36"/>
        </w:rPr>
        <w:t xml:space="preserve">next twelve months, in which case it is classified as current on the consolidated balance sheets. </w:t>
      </w:r>
    </w:p>
    <w:p w14:paraId="089C287F" w14:textId="77777777" w:rsidR="00662655" w:rsidRDefault="00662655" w:rsidP="00662655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>
        <w:rPr>
          <w:sz w:val="36"/>
          <w:szCs w:val="36"/>
        </w:rPr>
        <w:t>…</w:t>
      </w:r>
    </w:p>
    <w:p w14:paraId="64ABF3B5" w14:textId="36196DF5" w:rsidR="009D1FC9" w:rsidRPr="00662655" w:rsidRDefault="009D1FC9" w:rsidP="00662655">
      <w:pPr>
        <w:spacing w:before="97"/>
        <w:ind w:left="110"/>
        <w:rPr>
          <w:bCs/>
          <w:i/>
          <w:w w:val="105"/>
          <w:sz w:val="36"/>
          <w:szCs w:val="36"/>
        </w:rPr>
      </w:pPr>
      <w:r w:rsidRPr="00662655">
        <w:rPr>
          <w:bCs/>
          <w:i/>
          <w:w w:val="105"/>
          <w:sz w:val="36"/>
          <w:szCs w:val="36"/>
        </w:rPr>
        <w:t>Equity Securities</w:t>
      </w:r>
    </w:p>
    <w:p w14:paraId="128A6D70" w14:textId="77777777" w:rsidR="00662655" w:rsidRDefault="00662655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33B14431" w14:textId="6395292B" w:rsidR="009D1FC9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9D1FC9">
        <w:rPr>
          <w:sz w:val="36"/>
          <w:szCs w:val="36"/>
        </w:rPr>
        <w:t>Equity securities with readily available fair values are measured at fair value with changes in fair value recognized in net income (loss).</w:t>
      </w:r>
    </w:p>
    <w:p w14:paraId="6C593B66" w14:textId="77777777" w:rsidR="00662655" w:rsidRPr="009D1FC9" w:rsidRDefault="00662655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3291D2AF" w14:textId="5C0AA2A9" w:rsidR="009D1FC9" w:rsidRPr="008E191E" w:rsidRDefault="009D1FC9" w:rsidP="008E191E">
      <w:pPr>
        <w:spacing w:before="97"/>
        <w:ind w:left="110"/>
        <w:rPr>
          <w:bCs/>
          <w:i/>
          <w:w w:val="105"/>
          <w:sz w:val="36"/>
          <w:szCs w:val="36"/>
        </w:rPr>
      </w:pPr>
      <w:r w:rsidRPr="008E191E">
        <w:rPr>
          <w:bCs/>
          <w:i/>
          <w:w w:val="105"/>
          <w:sz w:val="36"/>
          <w:szCs w:val="36"/>
        </w:rPr>
        <w:lastRenderedPageBreak/>
        <w:t>Mortgage Loans</w:t>
      </w:r>
    </w:p>
    <w:p w14:paraId="1F0F1A31" w14:textId="77777777" w:rsidR="008E191E" w:rsidRPr="009D1FC9" w:rsidRDefault="008E191E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7660ED3B" w14:textId="216C99C0" w:rsidR="009D1FC9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9D1FC9">
        <w:rPr>
          <w:sz w:val="36"/>
          <w:szCs w:val="36"/>
        </w:rPr>
        <w:t>Mortgage loan investments on the consolidated balance sheets are valued at the unpaid principal balance, net of impairment reserves. A mortgage loan may be</w:t>
      </w:r>
      <w:r>
        <w:rPr>
          <w:sz w:val="36"/>
          <w:szCs w:val="36"/>
        </w:rPr>
        <w:t xml:space="preserve"> </w:t>
      </w:r>
      <w:r w:rsidRPr="009D1FC9">
        <w:rPr>
          <w:sz w:val="36"/>
          <w:szCs w:val="36"/>
        </w:rPr>
        <w:t>impaired when it is a problem loan (i.e., more than 60 days delinquent, in bankruptcy or in process of foreclosure), a potential problem loan (i.e., high probability</w:t>
      </w:r>
      <w:r>
        <w:rPr>
          <w:sz w:val="36"/>
          <w:szCs w:val="36"/>
        </w:rPr>
        <w:t xml:space="preserve"> </w:t>
      </w:r>
      <w:r w:rsidRPr="009D1FC9">
        <w:rPr>
          <w:sz w:val="36"/>
          <w:szCs w:val="36"/>
        </w:rPr>
        <w:t>of default) or a restructured loan. For impaired loans, a specific impairment reserve is established for the difference between the recorded investment in the loan</w:t>
      </w:r>
      <w:r>
        <w:rPr>
          <w:sz w:val="36"/>
          <w:szCs w:val="36"/>
        </w:rPr>
        <w:t xml:space="preserve"> </w:t>
      </w:r>
      <w:r w:rsidRPr="009D1FC9">
        <w:rPr>
          <w:sz w:val="36"/>
          <w:szCs w:val="36"/>
        </w:rPr>
        <w:t>and the estimated fair value of the collateral. The Company applies its loan impairment policy individually to all loans in its portfolio.</w:t>
      </w:r>
    </w:p>
    <w:p w14:paraId="6A17D399" w14:textId="77777777" w:rsidR="00662655" w:rsidRDefault="00662655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>
        <w:rPr>
          <w:sz w:val="36"/>
          <w:szCs w:val="36"/>
        </w:rPr>
        <w:t>…</w:t>
      </w:r>
    </w:p>
    <w:p w14:paraId="19FED1AB" w14:textId="77ADCA3F" w:rsidR="009D1FC9" w:rsidRPr="008E191E" w:rsidRDefault="009D1FC9" w:rsidP="008E191E">
      <w:pPr>
        <w:spacing w:before="97"/>
        <w:ind w:left="110"/>
        <w:rPr>
          <w:bCs/>
          <w:i/>
          <w:w w:val="105"/>
          <w:sz w:val="36"/>
          <w:szCs w:val="36"/>
        </w:rPr>
      </w:pPr>
      <w:r w:rsidRPr="008E191E">
        <w:rPr>
          <w:bCs/>
          <w:i/>
          <w:w w:val="105"/>
          <w:sz w:val="36"/>
          <w:szCs w:val="36"/>
        </w:rPr>
        <w:t>Other Investments</w:t>
      </w:r>
    </w:p>
    <w:p w14:paraId="6134D7A8" w14:textId="77777777" w:rsidR="00662655" w:rsidRPr="009D1FC9" w:rsidRDefault="00662655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5FBE46BD" w14:textId="77777777" w:rsidR="009D1FC9" w:rsidRPr="009D1FC9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9D1FC9">
        <w:rPr>
          <w:sz w:val="36"/>
          <w:szCs w:val="36"/>
        </w:rPr>
        <w:t>Other investments consist primarily of the following:</w:t>
      </w:r>
    </w:p>
    <w:p w14:paraId="5D822D22" w14:textId="5A0A5F58" w:rsidR="00E56A0C" w:rsidRDefault="009D1FC9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9D1FC9">
        <w:rPr>
          <w:sz w:val="36"/>
          <w:szCs w:val="36"/>
        </w:rPr>
        <w:t>• Private equity and hedge fund limited partnerships, which are accounted for using the equity method of accounting</w:t>
      </w:r>
      <w:r w:rsidR="00F65B6D">
        <w:rPr>
          <w:sz w:val="36"/>
          <w:szCs w:val="36"/>
        </w:rPr>
        <w:t xml:space="preserve"> …</w:t>
      </w:r>
    </w:p>
    <w:p w14:paraId="5AF88D68" w14:textId="0C55B1D7" w:rsidR="00F65B6D" w:rsidRDefault="00F65B6D" w:rsidP="009D1FC9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31A0CDBA" w14:textId="24E3C43C" w:rsidR="00F65B6D" w:rsidRPr="00F65B6D" w:rsidRDefault="00F65B6D" w:rsidP="00F65B6D">
      <w:pPr>
        <w:spacing w:before="97"/>
        <w:ind w:left="110"/>
        <w:rPr>
          <w:b/>
          <w:i/>
          <w:w w:val="105"/>
          <w:sz w:val="36"/>
          <w:szCs w:val="36"/>
        </w:rPr>
      </w:pPr>
      <w:r w:rsidRPr="00F65B6D">
        <w:rPr>
          <w:b/>
          <w:i/>
          <w:w w:val="105"/>
          <w:sz w:val="36"/>
          <w:szCs w:val="36"/>
        </w:rPr>
        <w:t>Accounts Receivable</w:t>
      </w:r>
    </w:p>
    <w:p w14:paraId="50EBF0D0" w14:textId="77777777" w:rsidR="00F65B6D" w:rsidRPr="00F65B6D" w:rsidRDefault="00F65B6D" w:rsidP="00F65B6D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</w:p>
    <w:p w14:paraId="4E943D87" w14:textId="12FF9666" w:rsidR="00F65B6D" w:rsidRPr="0015433E" w:rsidRDefault="00F65B6D" w:rsidP="00F65B6D">
      <w:pPr>
        <w:pStyle w:val="BodyText"/>
        <w:tabs>
          <w:tab w:val="left" w:pos="10016"/>
        </w:tabs>
        <w:spacing w:line="247" w:lineRule="auto"/>
        <w:ind w:left="110" w:right="101"/>
        <w:rPr>
          <w:sz w:val="36"/>
          <w:szCs w:val="36"/>
        </w:rPr>
      </w:pPr>
      <w:r w:rsidRPr="00F65B6D">
        <w:rPr>
          <w:sz w:val="36"/>
          <w:szCs w:val="36"/>
        </w:rPr>
        <w:t>Accounts receivable are stated net of allowances for doubtful accounts, customer credit allowances, contractual allowances and estimated terminations.</w:t>
      </w:r>
      <w:r>
        <w:rPr>
          <w:sz w:val="36"/>
          <w:szCs w:val="36"/>
        </w:rPr>
        <w:t xml:space="preserve"> …</w:t>
      </w:r>
      <w:bookmarkStart w:id="0" w:name="_GoBack"/>
      <w:bookmarkEnd w:id="0"/>
    </w:p>
    <w:sectPr w:rsidR="00F65B6D" w:rsidRPr="0015433E" w:rsidSect="009D1FC9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86F"/>
    <w:rsid w:val="00082764"/>
    <w:rsid w:val="0015433E"/>
    <w:rsid w:val="004F086F"/>
    <w:rsid w:val="00662655"/>
    <w:rsid w:val="008E191E"/>
    <w:rsid w:val="009D1FC9"/>
    <w:rsid w:val="00BA2A69"/>
    <w:rsid w:val="00E56A0C"/>
    <w:rsid w:val="00F65B6D"/>
    <w:rsid w:val="00F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AD9B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364</Words>
  <Characters>1708</Characters>
  <Application>Microsoft Office Word</Application>
  <DocSecurity>0</DocSecurity>
  <Lines>41</Lines>
  <Paragraphs>25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10</cp:revision>
  <dcterms:created xsi:type="dcterms:W3CDTF">2020-03-10T13:33:00Z</dcterms:created>
  <dcterms:modified xsi:type="dcterms:W3CDTF">2020-03-10T13:43:00Z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