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0F7A8" w14:textId="70EE6D21" w:rsidR="0094517D" w:rsidRDefault="0094517D" w:rsidP="0094517D">
      <w:pPr>
        <w:rPr>
          <w:b/>
          <w:bCs/>
        </w:rPr>
      </w:pPr>
      <w:r>
        <w:rPr>
          <w:b/>
          <w:bCs/>
        </w:rPr>
        <w:t>Excerpts from CVS 10-K</w:t>
      </w:r>
    </w:p>
    <w:p w14:paraId="42F06F23" w14:textId="48D78F4A" w:rsidR="0094517D" w:rsidRPr="0094517D" w:rsidRDefault="0094517D" w:rsidP="0094517D">
      <w:pPr>
        <w:rPr>
          <w:b/>
          <w:bCs/>
        </w:rPr>
      </w:pPr>
      <w:r w:rsidRPr="0094517D">
        <w:rPr>
          <w:b/>
          <w:bCs/>
        </w:rPr>
        <w:t>Notes to Consolidated Financial Statements</w:t>
      </w:r>
    </w:p>
    <w:p w14:paraId="1CE46423" w14:textId="247BA81B" w:rsidR="00382027" w:rsidRDefault="0094517D" w:rsidP="0094517D">
      <w:pPr>
        <w:rPr>
          <w:b/>
          <w:bCs/>
        </w:rPr>
      </w:pPr>
      <w:r w:rsidRPr="0094517D">
        <w:rPr>
          <w:b/>
          <w:bCs/>
        </w:rPr>
        <w:t>1. Significant Accounting Policies</w:t>
      </w:r>
    </w:p>
    <w:p w14:paraId="36ECD4D9" w14:textId="349ACA1B" w:rsidR="0094517D" w:rsidRDefault="0094517D" w:rsidP="0094517D">
      <w:r>
        <w:t>…</w:t>
      </w:r>
    </w:p>
    <w:p w14:paraId="0C48B65A" w14:textId="77777777" w:rsidR="0094517D" w:rsidRPr="0094517D" w:rsidRDefault="0094517D" w:rsidP="0094517D">
      <w:pPr>
        <w:rPr>
          <w:b/>
          <w:bCs/>
          <w:i/>
          <w:iCs/>
        </w:rPr>
      </w:pPr>
      <w:r w:rsidRPr="0094517D">
        <w:rPr>
          <w:b/>
          <w:bCs/>
          <w:i/>
          <w:iCs/>
        </w:rPr>
        <w:t>Cash and Cash Equivalents</w:t>
      </w:r>
    </w:p>
    <w:p w14:paraId="314842C7" w14:textId="322E932F" w:rsidR="0094517D" w:rsidRDefault="0094517D" w:rsidP="0094517D">
      <w:r w:rsidRPr="0094517D">
        <w:t>Cash and cash equivalents consist of cash and temporary investments with maturities of three months or less when purchased. The Company invests in short-term</w:t>
      </w:r>
      <w:r>
        <w:t xml:space="preserve"> </w:t>
      </w:r>
      <w:r w:rsidRPr="0094517D">
        <w:t>money market funds, commercial paper and time deposits, as well as other debt securities that are classified as cash equivalents within the accompanying</w:t>
      </w:r>
      <w:r>
        <w:t xml:space="preserve"> </w:t>
      </w:r>
      <w:r w:rsidRPr="0094517D">
        <w:t>consolidated balance sheets, as these funds are highly liquid and readily convertible to known amounts of cash.</w:t>
      </w:r>
    </w:p>
    <w:p w14:paraId="3FD13656" w14:textId="662E457B" w:rsidR="0094517D" w:rsidRDefault="0094517D" w:rsidP="0094517D">
      <w:r>
        <w:t>…</w:t>
      </w:r>
    </w:p>
    <w:p w14:paraId="6790192C" w14:textId="77777777" w:rsidR="0094517D" w:rsidRPr="0094517D" w:rsidRDefault="0094517D" w:rsidP="0094517D">
      <w:pPr>
        <w:rPr>
          <w:b/>
          <w:bCs/>
          <w:i/>
          <w:iCs/>
        </w:rPr>
      </w:pPr>
      <w:r w:rsidRPr="0094517D">
        <w:rPr>
          <w:b/>
          <w:bCs/>
          <w:i/>
          <w:iCs/>
        </w:rPr>
        <w:t>Investments</w:t>
      </w:r>
    </w:p>
    <w:p w14:paraId="31021724" w14:textId="77777777" w:rsidR="0094517D" w:rsidRPr="0094517D" w:rsidRDefault="0094517D" w:rsidP="0094517D">
      <w:pPr>
        <w:rPr>
          <w:i/>
          <w:iCs/>
        </w:rPr>
      </w:pPr>
      <w:r w:rsidRPr="0094517D">
        <w:rPr>
          <w:i/>
          <w:iCs/>
        </w:rPr>
        <w:t>Debt Securities</w:t>
      </w:r>
    </w:p>
    <w:p w14:paraId="383E846A" w14:textId="77777777" w:rsidR="0094517D" w:rsidRPr="0094517D" w:rsidRDefault="0094517D" w:rsidP="0094517D">
      <w:r w:rsidRPr="0094517D">
        <w:t>Debt securities consist primarily of U.S. Treasury and agency securities, mortgage-backed securities, corporate and foreign bonds and other debt securities. Debt securities are classified as either current or long-term investments based on their contractual maturities unless the Company intends to sell an investment within the next twelve months, in which case it is classified as current on the consolidated balance sheets. Debt securities are classified as available for sale and are carried at fair value. See Note 4 ‘‘Fair Value’’ for additional information on how the Company estimates the fair value of these investments.</w:t>
      </w:r>
    </w:p>
    <w:p w14:paraId="03022EC5" w14:textId="77777777" w:rsidR="0094517D" w:rsidRPr="0094517D" w:rsidRDefault="0094517D" w:rsidP="0094517D">
      <w:r w:rsidRPr="0094517D">
        <w:t>The cost for mortgage-backed and other asset-backed securities is adjusted for unamortized premiums and discounts, which are amortized using the interest method over the estimated remaining term of the securities, adjusted for anticipated prepayments.</w:t>
      </w:r>
    </w:p>
    <w:p w14:paraId="07EC11A8" w14:textId="77777777" w:rsidR="0094517D" w:rsidRPr="0094517D" w:rsidRDefault="0094517D" w:rsidP="0094517D">
      <w:r w:rsidRPr="0094517D">
        <w:t xml:space="preserve">The Company regularly reviews its debt securities to determine whether a decline in fair value below the cost basis or carrying value is other-than-temporary. When a debt security is in an unrealized capital loss position, the Company monitors the duration and severity of the loss to determine if </w:t>
      </w:r>
      <w:proofErr w:type="gramStart"/>
      <w:r w:rsidRPr="0094517D">
        <w:t>sufficient</w:t>
      </w:r>
      <w:proofErr w:type="gramEnd"/>
      <w:r w:rsidRPr="0094517D">
        <w:t xml:space="preserve"> market recovery can occur within a reasonable period of time. If a decline in the fair value of a debt security is considered other-than-temporary, the cost basis or carrying value of the debt security is written down. The write-down is then bifurcated into its credit and non-credit related components. The amount of the credit-related component is included in the Company’s net income (loss), and the amount of the non-credit related component is included in other comprehensive income (loss), unless the Company intends to sell the debt security or it is more likely than not that the Company will be required to sell the debt security prior to its anticipated recovery of the debt security’s amortized cost basis. Interest is not accrued on debt securities when management believes the collection of interest is unlikely.</w:t>
      </w:r>
    </w:p>
    <w:p w14:paraId="4944B02E" w14:textId="77777777" w:rsidR="0094517D" w:rsidRPr="0094517D" w:rsidRDefault="0094517D" w:rsidP="0094517D">
      <w:pPr>
        <w:rPr>
          <w:i/>
          <w:iCs/>
        </w:rPr>
      </w:pPr>
      <w:r w:rsidRPr="0094517D">
        <w:rPr>
          <w:i/>
          <w:iCs/>
        </w:rPr>
        <w:t>Equity Securities</w:t>
      </w:r>
    </w:p>
    <w:p w14:paraId="6B27A4F3" w14:textId="77777777" w:rsidR="0094517D" w:rsidRPr="0094517D" w:rsidRDefault="0094517D" w:rsidP="0094517D">
      <w:r w:rsidRPr="0094517D">
        <w:t>Equity securities with readily available fair values are measured at fair value with changes in fair value recognized in net income (loss).</w:t>
      </w:r>
    </w:p>
    <w:p w14:paraId="0F0EDF8B" w14:textId="77777777" w:rsidR="0094517D" w:rsidRPr="0094517D" w:rsidRDefault="0094517D" w:rsidP="0094517D">
      <w:pPr>
        <w:rPr>
          <w:i/>
          <w:iCs/>
        </w:rPr>
      </w:pPr>
      <w:r w:rsidRPr="0094517D">
        <w:rPr>
          <w:i/>
          <w:iCs/>
        </w:rPr>
        <w:lastRenderedPageBreak/>
        <w:t>Mortgage Loans</w:t>
      </w:r>
    </w:p>
    <w:p w14:paraId="48A2807B" w14:textId="77777777" w:rsidR="0094517D" w:rsidRPr="0094517D" w:rsidRDefault="0094517D" w:rsidP="0094517D">
      <w:r w:rsidRPr="0094517D">
        <w:t>Mortgage loan investments on the consolidated balance sheets are valued at the unpaid principal balance, net of impairment reserves. A mortgage loan may be impaired when it is a problem loan (i.e., more than 60 days delinquent, in bankruptcy or in process of foreclosure), a potential problem loan (i.e., high probability of default) or a restructured loan. For impaired loans, a specific impairment reserve is established for the difference between the recorded investment in the loan and the estimated fair value of the collateral. The Company applies its loan impairment policy individually to all loans in its portfolio.</w:t>
      </w:r>
    </w:p>
    <w:p w14:paraId="1C5296B0" w14:textId="77777777" w:rsidR="0094517D" w:rsidRPr="0094517D" w:rsidRDefault="0094517D" w:rsidP="0094517D">
      <w:r w:rsidRPr="0094517D">
        <w:t>The impairment evaluation described above also considers characteristics and risk factors attributable to the aggregate portfolio. An additional allowance for loan losses is established if it is probable that there will be a credit loss on a group of similar mortgage loans. The following characteristics and risk factors are considered when evaluating if a credit loss is probable on a group of similar mortgage loans: loan-to-value ratios, property type (e.g., office, retail, apartment, industrial), geographic location, vacancy rates and property condition.</w:t>
      </w:r>
    </w:p>
    <w:p w14:paraId="669C2B52" w14:textId="77777777" w:rsidR="0094517D" w:rsidRPr="0094517D" w:rsidRDefault="0094517D" w:rsidP="0094517D">
      <w:r w:rsidRPr="0094517D">
        <w:t>Full or partial impairments of loans are recorded at the time an event occurs affecting the legal status of the loan, typically at the time of foreclosure or upon a loan modification giving rise to forgiveness of debt. Interest income on a potential problem loan or restructured loan is accrued to the extent it is deemed to be collectible and the loan continues to perform under its original or restructured terms. Interest income on problem loans is recognized on a cash basis. Cash payments on loans in the process of foreclosure are treated as a return of principal. Mortgage loans with a maturity date or a committed prepayment date within twelve months are classified as current on the consolidated balance sheets.</w:t>
      </w:r>
    </w:p>
    <w:p w14:paraId="1036E2A0" w14:textId="77777777" w:rsidR="0094517D" w:rsidRPr="0094517D" w:rsidRDefault="0094517D" w:rsidP="0094517D"/>
    <w:p w14:paraId="24A0D4F1" w14:textId="77777777" w:rsidR="0094517D" w:rsidRPr="0094517D" w:rsidRDefault="0094517D" w:rsidP="0094517D">
      <w:pPr>
        <w:rPr>
          <w:i/>
          <w:iCs/>
        </w:rPr>
      </w:pPr>
      <w:r w:rsidRPr="0094517D">
        <w:rPr>
          <w:i/>
          <w:iCs/>
        </w:rPr>
        <w:t>Other Investments</w:t>
      </w:r>
    </w:p>
    <w:p w14:paraId="4915D999" w14:textId="77777777" w:rsidR="0094517D" w:rsidRPr="0094517D" w:rsidRDefault="0094517D" w:rsidP="0094517D">
      <w:r w:rsidRPr="0094517D">
        <w:t>Other investments consist primarily of the following:</w:t>
      </w:r>
    </w:p>
    <w:p w14:paraId="303F35B4" w14:textId="77777777" w:rsidR="0094517D" w:rsidRPr="0094517D" w:rsidRDefault="0094517D" w:rsidP="0094517D">
      <w:pPr>
        <w:numPr>
          <w:ilvl w:val="0"/>
          <w:numId w:val="1"/>
        </w:numPr>
      </w:pPr>
      <w:r w:rsidRPr="0094517D">
        <w:t xml:space="preserve">Private equity and hedge fund limited partnerships, which are accounted for using the equity method of accounting. Under this method, the carrying value of the investment is based on the value of the Company’s equity ownership of the underlying investment funds provided by the general partner or manager of the investments, the financial statements of which generally are audited. As a result of the timing of the receipt of the valuation information provided by the fund managers, these investments are generally reported on up to a </w:t>
      </w:r>
      <w:proofErr w:type="gramStart"/>
      <w:r w:rsidRPr="0094517D">
        <w:t>three month</w:t>
      </w:r>
      <w:proofErr w:type="gramEnd"/>
      <w:r w:rsidRPr="0094517D">
        <w:t xml:space="preserve"> lag. The Company reviews investments for impairment at least quarterly and monitors their performance throughout the year through discussions with the administrators, managers and/or general partners. If the Company becomes aware of an impairment of a limited partnership’s investments through its review or prior to receiving the limited partnership’s financial statements at the</w:t>
      </w:r>
    </w:p>
    <w:p w14:paraId="166A1C84" w14:textId="77777777" w:rsidR="0094517D" w:rsidRPr="0094517D" w:rsidRDefault="0094517D" w:rsidP="0094517D">
      <w:pPr>
        <w:numPr>
          <w:ilvl w:val="0"/>
          <w:numId w:val="1"/>
        </w:numPr>
      </w:pPr>
      <w:r w:rsidRPr="0094517D">
        <w:t xml:space="preserve">Investment real estate, which is carried on the consolidated balance sheets at depreciated cost, including capital additions, net of write-downs for other-than- temporary declines in fair value. Depreciation is calculated using the straight-line method based on the estimated useful life of each asset. If any real estate investment is considered held-for-sale, it is carried at the lower of </w:t>
      </w:r>
      <w:proofErr w:type="gramStart"/>
      <w:r w:rsidRPr="0094517D">
        <w:t>its</w:t>
      </w:r>
      <w:proofErr w:type="gramEnd"/>
      <w:r w:rsidRPr="0094517D">
        <w:t xml:space="preserve"> carrying value or fair value less estimated selling costs. The Company generally estimates fair value using a discounted future cash flow analysis in conjunction with comparable sales information. At </w:t>
      </w:r>
      <w:r w:rsidRPr="0094517D">
        <w:lastRenderedPageBreak/>
        <w:t>the time of the sale, the difference between the sales price and the carrying value is recorded as a realized capital gain or loss.</w:t>
      </w:r>
    </w:p>
    <w:p w14:paraId="7FD4AD92" w14:textId="77777777" w:rsidR="0094517D" w:rsidRPr="0094517D" w:rsidRDefault="0094517D" w:rsidP="0094517D">
      <w:pPr>
        <w:numPr>
          <w:ilvl w:val="0"/>
          <w:numId w:val="1"/>
        </w:numPr>
      </w:pPr>
      <w:proofErr w:type="gramStart"/>
      <w:r w:rsidRPr="0094517D">
        <w:t>Privately-placed</w:t>
      </w:r>
      <w:proofErr w:type="gramEnd"/>
      <w:r w:rsidRPr="0094517D">
        <w:t xml:space="preserve"> equity securities, which are carried on the consolidated balance sheets at cost less impairments, plus or minus subsequent adjustments for observable price changes. Additionally, as a member of the Federal Home Loan Bank of Boston (“FHLBB”), a subsidiary of the Company is required to purchase and hold shares of the FHLBB. These shares are restricted and carried at cost.</w:t>
      </w:r>
    </w:p>
    <w:p w14:paraId="17082347" w14:textId="77777777" w:rsidR="0094517D" w:rsidRPr="0094517D" w:rsidRDefault="0094517D" w:rsidP="0094517D">
      <w:pPr>
        <w:rPr>
          <w:i/>
          <w:iCs/>
        </w:rPr>
      </w:pPr>
      <w:r w:rsidRPr="0094517D">
        <w:rPr>
          <w:i/>
          <w:iCs/>
        </w:rPr>
        <w:t>Net Investment Income</w:t>
      </w:r>
    </w:p>
    <w:p w14:paraId="2E3E2160" w14:textId="77777777" w:rsidR="0094517D" w:rsidRPr="0094517D" w:rsidRDefault="0094517D" w:rsidP="0094517D">
      <w:r w:rsidRPr="0094517D">
        <w:t>Net investment income on the Company’s investments is recorded when earned and is reflected in the Company’s net income (loss) (other than net investment income on assets supporting experience-rated products). Experience-rated products are products in the large case pensions business where the contract holder, not the Company, assumes investment and other risks, subject to, among other things, minimum guarantees provided by the Company. The effect of investment performance on experience-rated products is allocated to contract holders’ accounts daily, based on the underlying investment experience and, therefore, does not impact the Company’s net income (loss) (as long as the contract’s minimum guarantees are not triggered). Net investment income on assets supporting large case pensions’ experience-rated products is included in net investment income in the consolidated statements of operations and is credited to contract holders’ accounts through a charge to benefit costs.</w:t>
      </w:r>
    </w:p>
    <w:p w14:paraId="4BB52C2B" w14:textId="77777777" w:rsidR="0094517D" w:rsidRPr="0094517D" w:rsidRDefault="0094517D" w:rsidP="0094517D">
      <w:r w:rsidRPr="0094517D">
        <w:t>Realized capital gains and losses on investments (other than realized capital gains and losses on investments supporting experience-rated products) are included as a component of net investment income in the consolidated statements of operations. Realized capital gains and losses are determined on a specific identification basis. Purchases and sales of debt and equity securities and alternative investments are reflected on the trade date. Purchases and sales of mortgage loans and investment real estate are reflected on the closing date.</w:t>
      </w:r>
    </w:p>
    <w:p w14:paraId="56123F1F" w14:textId="77777777" w:rsidR="0094517D" w:rsidRPr="0094517D" w:rsidRDefault="0094517D" w:rsidP="0094517D">
      <w:r w:rsidRPr="0094517D">
        <w:t>Realized capital gains and losses on investments supporting large case pensions’ experience-rated products are not included in realized capital gains and losses in the consolidated statements of operations and instead are credited directly to contract holders’ accounts. The contract holders’ accounts are reflected in policyholders’ funds on the consolidated balance sheets.</w:t>
      </w:r>
    </w:p>
    <w:p w14:paraId="1AFEEFD6" w14:textId="77777777" w:rsidR="0094517D" w:rsidRPr="0094517D" w:rsidRDefault="0094517D" w:rsidP="0094517D">
      <w:r w:rsidRPr="0094517D">
        <w:t>Unrealized capital gains and losses on investments (other than unrealized capital gains and losses on investments supporting experience-rated products) are reflected in shareholders’ equity, net of tax, as a component of accumulated other comprehensive income. Unrealized capital gains and losses on investments supporting large case pensions’ experience-rated products are credited directly to contract holders’ accounts. The contract holders’ accounts are reflected in policyholders’ funds on the consolidated balance sheets.</w:t>
      </w:r>
    </w:p>
    <w:p w14:paraId="24BBF668" w14:textId="665DC40A" w:rsidR="0094517D" w:rsidRDefault="0094517D" w:rsidP="0094517D">
      <w:r>
        <w:t>…</w:t>
      </w:r>
    </w:p>
    <w:p w14:paraId="4D59100F" w14:textId="77777777" w:rsidR="0094517D" w:rsidRPr="0094517D" w:rsidRDefault="0094517D" w:rsidP="0094517D">
      <w:pPr>
        <w:rPr>
          <w:b/>
          <w:bCs/>
          <w:i/>
          <w:iCs/>
        </w:rPr>
      </w:pPr>
      <w:r w:rsidRPr="0094517D">
        <w:rPr>
          <w:b/>
          <w:bCs/>
          <w:i/>
          <w:iCs/>
        </w:rPr>
        <w:t>Right-of-Use Assets and Lease Liabilities</w:t>
      </w:r>
    </w:p>
    <w:p w14:paraId="1A915BD7" w14:textId="77777777" w:rsidR="0094517D" w:rsidRPr="0094517D" w:rsidRDefault="0094517D" w:rsidP="0094517D">
      <w:r w:rsidRPr="0094517D">
        <w:t xml:space="preserve">The Company determines if an arrangement contains a lease at the inception of a contract. Right-of-use assets represent the Company’s right to use an underlying asset for the lease term and lease liabilities represent the Company’s obligation to make lease payments arising from the lease. Right-of-use assets and lease liabilities are recognized at the commencement date of the lease, renewal date of the lease or </w:t>
      </w:r>
      <w:r w:rsidRPr="0094517D">
        <w:lastRenderedPageBreak/>
        <w:t>significant remodeling of the lease space based on the present value of the remaining future minimum lease payments. As the interest rate implicit in the Company’s leases is not readily determinable, the Company utilizes its incremental borrowing rate, determined by class of underlying asset, to discount the lease payments. The operating lease right-of-use assets also include lease payments made before commencement and are reduced by lease incentives.</w:t>
      </w:r>
    </w:p>
    <w:p w14:paraId="383865B2" w14:textId="77777777" w:rsidR="0094517D" w:rsidRPr="0094517D" w:rsidRDefault="0094517D" w:rsidP="0094517D">
      <w:r w:rsidRPr="0094517D">
        <w:t>The Company’s real estate leases typically contain options that permit renewals for additional periods of up to five years each. For real estate leases, the options to extend are not considered reasonably certain at lease commencement because the Company reevaluates each lease on a regular basis to consider the economic and strategic incentives of exercising the renewal options and regularly opens or closes stores to align with its operating strategy. Generally, the renewal option periods are not included within the lease term and the associated payments are not included in the measurement of the right-of-use asset and lease liability. Similarly, renewal options are not included in the lease term for non-real estate leases because they are not considered reasonably certain of being exercised at lease commencement. Leases with an initial term of 12 months or less are not recorded on the balance sheets, and lease expense is recognized on a straight-line basis over the term of the short-term lease.</w:t>
      </w:r>
    </w:p>
    <w:p w14:paraId="77ED64E5" w14:textId="77777777" w:rsidR="0094517D" w:rsidRPr="0094517D" w:rsidRDefault="0094517D" w:rsidP="0094517D">
      <w:r w:rsidRPr="0094517D">
        <w:t xml:space="preserve">For real estate leases, the Company accounts for lease components and </w:t>
      </w:r>
      <w:proofErr w:type="spellStart"/>
      <w:r w:rsidRPr="0094517D">
        <w:t>nonlease</w:t>
      </w:r>
      <w:proofErr w:type="spellEnd"/>
      <w:r w:rsidRPr="0094517D">
        <w:t xml:space="preserve"> components as a single lease component. Certain real estate leases require additional payments based on sales volume, as well as reimbursement for real estate taxes, common area maintenance and insurance, which are expensed as incurred as variable lease costs. Other real estate leases contain one fixed lease payment that includes real estate taxes, common area maintenance and insurance. These fixed payments are considered part of the lease payment and included in the right-of-use assets and lease liabilities.</w:t>
      </w:r>
    </w:p>
    <w:p w14:paraId="0847F3ED" w14:textId="09CE6E99" w:rsidR="0094517D" w:rsidRDefault="0094517D" w:rsidP="0094517D">
      <w:r w:rsidRPr="0094517D">
        <w:t>See Note 6 ‘‘Leases’’ for additional information about right-of-use assets and lease liabilities.</w:t>
      </w:r>
    </w:p>
    <w:p w14:paraId="4F75902A" w14:textId="2FAD3AB4" w:rsidR="00604317" w:rsidRDefault="00604317" w:rsidP="0094517D">
      <w:r>
        <w:t>…</w:t>
      </w:r>
    </w:p>
    <w:p w14:paraId="4D48258C" w14:textId="77777777" w:rsidR="00604317" w:rsidRPr="00604317" w:rsidRDefault="00604317" w:rsidP="00604317">
      <w:pPr>
        <w:rPr>
          <w:b/>
          <w:bCs/>
        </w:rPr>
      </w:pPr>
      <w:r w:rsidRPr="00604317">
        <w:rPr>
          <w:b/>
          <w:bCs/>
        </w:rPr>
        <w:t>6. Leases</w:t>
      </w:r>
    </w:p>
    <w:p w14:paraId="09ABA103" w14:textId="77777777" w:rsidR="00604317" w:rsidRPr="00604317" w:rsidRDefault="00604317" w:rsidP="00604317">
      <w:r w:rsidRPr="00604317">
        <w:t xml:space="preserve">The Company adopted ASU 2016-02, </w:t>
      </w:r>
      <w:r w:rsidRPr="00604317">
        <w:rPr>
          <w:i/>
          <w:iCs/>
        </w:rPr>
        <w:t xml:space="preserve">Leases </w:t>
      </w:r>
      <w:r w:rsidRPr="00604317">
        <w:t>(Topic 842) (“ASC 842”) on January 1, 2019 on a modified retrospective basis. As a result, the Company’s lease disclosures as of and for the year ended December 31, 2019 are reported under ASC 842. Comparative financial information for prior periods has not been restated and continues to be reported under ASC 840, the lease accounting standard in effect for those periods.</w:t>
      </w:r>
    </w:p>
    <w:p w14:paraId="4E06908A" w14:textId="77777777" w:rsidR="00604317" w:rsidRPr="00604317" w:rsidRDefault="00604317" w:rsidP="00604317">
      <w:pPr>
        <w:rPr>
          <w:b/>
          <w:bCs/>
          <w:i/>
          <w:iCs/>
        </w:rPr>
      </w:pPr>
      <w:r w:rsidRPr="00604317">
        <w:rPr>
          <w:b/>
          <w:bCs/>
          <w:i/>
          <w:iCs/>
        </w:rPr>
        <w:t>Disclosure Subsequent to the Adoption of the New Lease Accounting Standard (ASU 2016-02)</w:t>
      </w:r>
    </w:p>
    <w:p w14:paraId="7B90C0BF" w14:textId="77777777" w:rsidR="00604317" w:rsidRPr="00604317" w:rsidRDefault="00604317" w:rsidP="00604317">
      <w:pPr>
        <w:rPr>
          <w:b/>
          <w:bCs/>
        </w:rPr>
      </w:pPr>
      <w:r w:rsidRPr="00604317">
        <w:t>The Company leases most of its retail stores and mail order facilities and certain distribution centers and corporate offices under operating or finance leases, typically with initial terms of 15 to 25 years. The Company also leases certain equipment and other assets under operating or finance leases, typically with initial terms of 3 to 10 years</w:t>
      </w:r>
      <w:r w:rsidRPr="00604317">
        <w:rPr>
          <w:b/>
          <w:bCs/>
        </w:rPr>
        <w:t>.</w:t>
      </w:r>
    </w:p>
    <w:p w14:paraId="4942F59A" w14:textId="0F72C8AB" w:rsidR="00604317" w:rsidRPr="00604317" w:rsidRDefault="00604317" w:rsidP="00604317">
      <w:r w:rsidRPr="00604317">
        <w:t xml:space="preserve">In addition, the Company leases pharmacy space at the stores of another retail chain for which the noncancelable contractual term of the pharmacy lease arrangement exceeds the remaining estimated economic life of the buildings. </w:t>
      </w:r>
      <w:r>
        <w:t>…</w:t>
      </w:r>
    </w:p>
    <w:sectPr w:rsidR="00604317" w:rsidRPr="00604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numFmt w:val="bullet"/>
      <w:lvlText w:val="•"/>
      <w:lvlJc w:val="left"/>
      <w:pPr>
        <w:ind w:left="434" w:hanging="324"/>
      </w:pPr>
      <w:rPr>
        <w:rFonts w:ascii="Times New Roman" w:hAnsi="Times New Roman" w:cs="Times New Roman"/>
        <w:b w:val="0"/>
        <w:bCs w:val="0"/>
        <w:w w:val="103"/>
        <w:sz w:val="17"/>
        <w:szCs w:val="17"/>
      </w:rPr>
    </w:lvl>
    <w:lvl w:ilvl="1">
      <w:numFmt w:val="bullet"/>
      <w:lvlText w:val="•"/>
      <w:lvlJc w:val="left"/>
      <w:pPr>
        <w:ind w:left="1570" w:hanging="324"/>
      </w:pPr>
    </w:lvl>
    <w:lvl w:ilvl="2">
      <w:numFmt w:val="bullet"/>
      <w:lvlText w:val="•"/>
      <w:lvlJc w:val="left"/>
      <w:pPr>
        <w:ind w:left="2700" w:hanging="324"/>
      </w:pPr>
    </w:lvl>
    <w:lvl w:ilvl="3">
      <w:numFmt w:val="bullet"/>
      <w:lvlText w:val="•"/>
      <w:lvlJc w:val="left"/>
      <w:pPr>
        <w:ind w:left="3830" w:hanging="324"/>
      </w:pPr>
    </w:lvl>
    <w:lvl w:ilvl="4">
      <w:numFmt w:val="bullet"/>
      <w:lvlText w:val="•"/>
      <w:lvlJc w:val="left"/>
      <w:pPr>
        <w:ind w:left="4960" w:hanging="324"/>
      </w:pPr>
    </w:lvl>
    <w:lvl w:ilvl="5">
      <w:numFmt w:val="bullet"/>
      <w:lvlText w:val="•"/>
      <w:lvlJc w:val="left"/>
      <w:pPr>
        <w:ind w:left="6090" w:hanging="324"/>
      </w:pPr>
    </w:lvl>
    <w:lvl w:ilvl="6">
      <w:numFmt w:val="bullet"/>
      <w:lvlText w:val="•"/>
      <w:lvlJc w:val="left"/>
      <w:pPr>
        <w:ind w:left="7220" w:hanging="324"/>
      </w:pPr>
    </w:lvl>
    <w:lvl w:ilvl="7">
      <w:numFmt w:val="bullet"/>
      <w:lvlText w:val="•"/>
      <w:lvlJc w:val="left"/>
      <w:pPr>
        <w:ind w:left="8350" w:hanging="324"/>
      </w:pPr>
    </w:lvl>
    <w:lvl w:ilvl="8">
      <w:numFmt w:val="bullet"/>
      <w:lvlText w:val="•"/>
      <w:lvlJc w:val="left"/>
      <w:pPr>
        <w:ind w:left="9480" w:hanging="32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7D"/>
    <w:rsid w:val="00382027"/>
    <w:rsid w:val="00604317"/>
    <w:rsid w:val="0094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2BD8"/>
  <w15:chartTrackingRefBased/>
  <w15:docId w15:val="{C193B1DC-1B71-481B-930B-2D427765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1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C700C3C22764281B606E6BB0BE512" ma:contentTypeVersion="12" ma:contentTypeDescription="Create a new document." ma:contentTypeScope="" ma:versionID="f0c030a73415d636e5a46183f50c7c24">
  <xsd:schema xmlns:xsd="http://www.w3.org/2001/XMLSchema" xmlns:xs="http://www.w3.org/2001/XMLSchema" xmlns:p="http://schemas.microsoft.com/office/2006/metadata/properties" xmlns:ns3="7d9b4326-e95a-4a9d-acda-83174bf33825" xmlns:ns4="ec22c7d8-208f-4baf-a907-919315f360ac" targetNamespace="http://schemas.microsoft.com/office/2006/metadata/properties" ma:root="true" ma:fieldsID="0a459a437de2d6b79143fa2b36596490" ns3:_="" ns4:_="">
    <xsd:import namespace="7d9b4326-e95a-4a9d-acda-83174bf33825"/>
    <xsd:import namespace="ec22c7d8-208f-4baf-a907-919315f360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b4326-e95a-4a9d-acda-83174bf33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22c7d8-208f-4baf-a907-919315f360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A9B355-FAEF-4417-B13F-A7FB1512C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b4326-e95a-4a9d-acda-83174bf33825"/>
    <ds:schemaRef ds:uri="ec22c7d8-208f-4baf-a907-919315f3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4B2642-15AB-4DAE-B37B-3D663588288B}">
  <ds:schemaRefs>
    <ds:schemaRef ds:uri="http://schemas.microsoft.com/sharepoint/v3/contenttype/forms"/>
  </ds:schemaRefs>
</ds:datastoreItem>
</file>

<file path=customXml/itemProps3.xml><?xml version="1.0" encoding="utf-8"?>
<ds:datastoreItem xmlns:ds="http://schemas.openxmlformats.org/officeDocument/2006/customXml" ds:itemID="{DDF9191B-8D39-40A6-B501-6EAD520E05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Antle, Rick</dc:creator>
  <cp:keywords/>
  <dc:description/>
  <cp:lastModifiedBy>Antle, Rick</cp:lastModifiedBy>
  <cp:revision>1</cp:revision>
  <dcterms:created xsi:type="dcterms:W3CDTF">2020-04-13T18:58:00Z</dcterms:created>
  <dcterms:modified xsi:type="dcterms:W3CDTF">2020-04-13T19:15:00Z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0x010100A84C700C3C22764281B606E6BB0BE512</vt:lpwstr>
  </property>
</Properties>
</file>