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</w:p>
    <w:p>
      <w:pPr>
        <w:tabs>
          <w:tab w:pos="595" w:val="left" w:leader="none"/>
        </w:tabs>
        <w:spacing w:before="98"/>
        <w:ind w:left="110" w:right="0" w:firstLine="0"/>
        <w:jc w:val="left"/>
        <w:rPr>
          <w:b/>
          <w:sz w:val="17"/>
        </w:rPr>
      </w:pPr>
      <w:r>
        <w:rPr>
          <w:b/>
          <w:w w:val="105"/>
          <w:sz w:val="17"/>
        </w:rPr>
        <w:t>6.</w:t>
        <w:tab/>
        <w:t>Leases</w:t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line="247" w:lineRule="auto"/>
        <w:ind w:left="110" w:right="99"/>
      </w:pPr>
      <w:r>
        <w:rPr>
          <w:w w:val="105"/>
        </w:rPr>
        <w:t>The Company adopted ASU 2016-02, </w:t>
      </w:r>
      <w:r>
        <w:rPr>
          <w:i/>
          <w:w w:val="105"/>
        </w:rPr>
        <w:t>Leases </w:t>
      </w:r>
      <w:r>
        <w:rPr>
          <w:w w:val="105"/>
        </w:rPr>
        <w:t>(Topic 842) (“ASC 842”) on January 1, 2019 on a modified retrospective basis. As a result, the Company’s lease disclosures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year</w:t>
      </w:r>
      <w:r>
        <w:rPr>
          <w:spacing w:val="-8"/>
          <w:w w:val="105"/>
        </w:rPr>
        <w:t> </w:t>
      </w:r>
      <w:r>
        <w:rPr>
          <w:w w:val="105"/>
        </w:rPr>
        <w:t>ended</w:t>
      </w:r>
      <w:r>
        <w:rPr>
          <w:spacing w:val="-9"/>
          <w:w w:val="105"/>
        </w:rPr>
        <w:t> </w:t>
      </w:r>
      <w:r>
        <w:rPr>
          <w:w w:val="105"/>
        </w:rPr>
        <w:t>December</w:t>
      </w:r>
      <w:r>
        <w:rPr>
          <w:spacing w:val="-9"/>
          <w:w w:val="105"/>
        </w:rPr>
        <w:t> </w:t>
      </w:r>
      <w:r>
        <w:rPr>
          <w:w w:val="105"/>
        </w:rPr>
        <w:t>31,</w:t>
      </w:r>
      <w:r>
        <w:rPr>
          <w:spacing w:val="-8"/>
          <w:w w:val="105"/>
        </w:rPr>
        <w:t> </w:t>
      </w:r>
      <w:r>
        <w:rPr>
          <w:w w:val="105"/>
        </w:rPr>
        <w:t>2019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reported</w:t>
      </w:r>
      <w:r>
        <w:rPr>
          <w:spacing w:val="-8"/>
          <w:w w:val="105"/>
        </w:rPr>
        <w:t> </w:t>
      </w:r>
      <w:r>
        <w:rPr>
          <w:w w:val="105"/>
        </w:rPr>
        <w:t>under</w:t>
      </w:r>
      <w:r>
        <w:rPr>
          <w:spacing w:val="-9"/>
          <w:w w:val="105"/>
        </w:rPr>
        <w:t> </w:t>
      </w:r>
      <w:r>
        <w:rPr>
          <w:w w:val="105"/>
        </w:rPr>
        <w:t>ASC</w:t>
      </w:r>
      <w:r>
        <w:rPr>
          <w:spacing w:val="-8"/>
          <w:w w:val="105"/>
        </w:rPr>
        <w:t> </w:t>
      </w:r>
      <w:r>
        <w:rPr>
          <w:w w:val="105"/>
        </w:rPr>
        <w:t>842.</w:t>
      </w:r>
      <w:r>
        <w:rPr>
          <w:spacing w:val="-9"/>
          <w:w w:val="105"/>
        </w:rPr>
        <w:t> </w:t>
      </w:r>
      <w:r>
        <w:rPr>
          <w:w w:val="105"/>
        </w:rPr>
        <w:t>Comparative</w:t>
      </w:r>
      <w:r>
        <w:rPr>
          <w:spacing w:val="-8"/>
          <w:w w:val="105"/>
        </w:rPr>
        <w:t> </w:t>
      </w:r>
      <w:r>
        <w:rPr>
          <w:w w:val="105"/>
        </w:rPr>
        <w:t>financial</w:t>
      </w:r>
      <w:r>
        <w:rPr>
          <w:spacing w:val="-9"/>
          <w:w w:val="105"/>
        </w:rPr>
        <w:t> </w:t>
      </w:r>
      <w:r>
        <w:rPr>
          <w:w w:val="105"/>
        </w:rPr>
        <w:t>information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prior</w:t>
      </w:r>
      <w:r>
        <w:rPr>
          <w:spacing w:val="-9"/>
          <w:w w:val="105"/>
        </w:rPr>
        <w:t> </w:t>
      </w:r>
      <w:r>
        <w:rPr>
          <w:w w:val="105"/>
        </w:rPr>
        <w:t>periods</w:t>
      </w:r>
      <w:r>
        <w:rPr>
          <w:spacing w:val="-8"/>
          <w:w w:val="105"/>
        </w:rPr>
        <w:t> </w:t>
      </w:r>
      <w:r>
        <w:rPr>
          <w:w w:val="105"/>
        </w:rPr>
        <w:t>has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been</w:t>
      </w:r>
      <w:r>
        <w:rPr>
          <w:spacing w:val="-9"/>
          <w:w w:val="105"/>
        </w:rPr>
        <w:t> </w:t>
      </w:r>
      <w:r>
        <w:rPr>
          <w:w w:val="105"/>
        </w:rPr>
        <w:t>restated and</w:t>
      </w:r>
      <w:r>
        <w:rPr>
          <w:spacing w:val="-3"/>
          <w:w w:val="105"/>
        </w:rPr>
        <w:t> </w:t>
      </w:r>
      <w:r>
        <w:rPr>
          <w:w w:val="105"/>
        </w:rPr>
        <w:t>continues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reported</w:t>
      </w:r>
      <w:r>
        <w:rPr>
          <w:spacing w:val="-2"/>
          <w:w w:val="105"/>
        </w:rPr>
        <w:t> </w:t>
      </w:r>
      <w:r>
        <w:rPr>
          <w:w w:val="105"/>
        </w:rPr>
        <w:t>under</w:t>
      </w:r>
      <w:r>
        <w:rPr>
          <w:spacing w:val="-2"/>
          <w:w w:val="105"/>
        </w:rPr>
        <w:t> </w:t>
      </w:r>
      <w:r>
        <w:rPr>
          <w:w w:val="105"/>
        </w:rPr>
        <w:t>ASC</w:t>
      </w:r>
      <w:r>
        <w:rPr>
          <w:spacing w:val="-3"/>
          <w:w w:val="105"/>
        </w:rPr>
        <w:t> </w:t>
      </w:r>
      <w:r>
        <w:rPr>
          <w:w w:val="105"/>
        </w:rPr>
        <w:t>840,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lease</w:t>
      </w:r>
      <w:r>
        <w:rPr>
          <w:spacing w:val="-2"/>
          <w:w w:val="105"/>
        </w:rPr>
        <w:t> </w:t>
      </w:r>
      <w:r>
        <w:rPr>
          <w:w w:val="105"/>
        </w:rPr>
        <w:t>accounting</w:t>
      </w:r>
      <w:r>
        <w:rPr>
          <w:spacing w:val="-2"/>
          <w:w w:val="105"/>
        </w:rPr>
        <w:t> </w:t>
      </w:r>
      <w:r>
        <w:rPr>
          <w:w w:val="105"/>
        </w:rPr>
        <w:t>standard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effect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those</w:t>
      </w:r>
      <w:r>
        <w:rPr>
          <w:spacing w:val="-2"/>
          <w:w w:val="105"/>
        </w:rPr>
        <w:t> </w:t>
      </w:r>
      <w:r>
        <w:rPr>
          <w:w w:val="105"/>
        </w:rPr>
        <w:t>periods.</w:t>
      </w:r>
    </w:p>
    <w:p>
      <w:pPr>
        <w:pStyle w:val="BodyText"/>
        <w:spacing w:before="9"/>
      </w:pPr>
    </w:p>
    <w:p>
      <w:pPr>
        <w:spacing w:before="1"/>
        <w:ind w:left="110" w:right="0" w:firstLine="0"/>
        <w:jc w:val="left"/>
        <w:rPr>
          <w:b/>
          <w:i/>
          <w:sz w:val="17"/>
        </w:rPr>
      </w:pPr>
      <w:r>
        <w:rPr>
          <w:b/>
          <w:i/>
          <w:w w:val="105"/>
          <w:sz w:val="17"/>
        </w:rPr>
        <w:t>Disclosure Subsequent to the Adoption of the New Lease Accounting Standard (ASU 2016-02)</w:t>
      </w:r>
    </w:p>
    <w:p>
      <w:pPr>
        <w:pStyle w:val="BodyText"/>
        <w:spacing w:before="1"/>
        <w:rPr>
          <w:b/>
          <w:i/>
          <w:sz w:val="18"/>
        </w:rPr>
      </w:pPr>
    </w:p>
    <w:p>
      <w:pPr>
        <w:pStyle w:val="BodyText"/>
        <w:spacing w:line="247" w:lineRule="auto" w:before="1"/>
        <w:ind w:left="110" w:right="251"/>
        <w:rPr>
          <w:b/>
        </w:rPr>
      </w:pPr>
      <w:r>
        <w:rPr>
          <w:w w:val="105"/>
        </w:rPr>
        <w:t>The Company leases most of its retail stores and mail order facilities and certain distribution centers and corporate offices under operating or finance leases, typically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initial</w:t>
      </w:r>
      <w:r>
        <w:rPr>
          <w:spacing w:val="-8"/>
          <w:w w:val="105"/>
        </w:rPr>
        <w:t> </w:t>
      </w:r>
      <w:r>
        <w:rPr>
          <w:w w:val="105"/>
        </w:rPr>
        <w:t>terms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15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25</w:t>
      </w:r>
      <w:r>
        <w:rPr>
          <w:spacing w:val="-9"/>
          <w:w w:val="105"/>
        </w:rPr>
        <w:t> </w:t>
      </w:r>
      <w:r>
        <w:rPr>
          <w:w w:val="105"/>
        </w:rPr>
        <w:t>years.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Company</w:t>
      </w:r>
      <w:r>
        <w:rPr>
          <w:spacing w:val="-8"/>
          <w:w w:val="105"/>
        </w:rPr>
        <w:t> </w:t>
      </w:r>
      <w:r>
        <w:rPr>
          <w:w w:val="105"/>
        </w:rPr>
        <w:t>also</w:t>
      </w:r>
      <w:r>
        <w:rPr>
          <w:spacing w:val="-9"/>
          <w:w w:val="105"/>
        </w:rPr>
        <w:t> </w:t>
      </w:r>
      <w:r>
        <w:rPr>
          <w:w w:val="105"/>
        </w:rPr>
        <w:t>leases</w:t>
      </w:r>
      <w:r>
        <w:rPr>
          <w:spacing w:val="-8"/>
          <w:w w:val="105"/>
        </w:rPr>
        <w:t> </w:t>
      </w:r>
      <w:r>
        <w:rPr>
          <w:w w:val="105"/>
        </w:rPr>
        <w:t>certain</w:t>
      </w:r>
      <w:r>
        <w:rPr>
          <w:spacing w:val="-8"/>
          <w:w w:val="105"/>
        </w:rPr>
        <w:t> </w:t>
      </w:r>
      <w:r>
        <w:rPr>
          <w:w w:val="105"/>
        </w:rPr>
        <w:t>equipment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other</w:t>
      </w:r>
      <w:r>
        <w:rPr>
          <w:spacing w:val="-8"/>
          <w:w w:val="105"/>
        </w:rPr>
        <w:t> </w:t>
      </w:r>
      <w:r>
        <w:rPr>
          <w:w w:val="105"/>
        </w:rPr>
        <w:t>assets</w:t>
      </w:r>
      <w:r>
        <w:rPr>
          <w:spacing w:val="-8"/>
          <w:w w:val="105"/>
        </w:rPr>
        <w:t> </w:t>
      </w:r>
      <w:r>
        <w:rPr>
          <w:w w:val="105"/>
        </w:rPr>
        <w:t>under</w:t>
      </w:r>
      <w:r>
        <w:rPr>
          <w:spacing w:val="-8"/>
          <w:w w:val="105"/>
        </w:rPr>
        <w:t> </w:t>
      </w:r>
      <w:r>
        <w:rPr>
          <w:w w:val="105"/>
        </w:rPr>
        <w:t>operating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finance</w:t>
      </w:r>
      <w:r>
        <w:rPr>
          <w:spacing w:val="-8"/>
          <w:w w:val="105"/>
        </w:rPr>
        <w:t> </w:t>
      </w:r>
      <w:r>
        <w:rPr>
          <w:w w:val="105"/>
        </w:rPr>
        <w:t>leases,</w:t>
      </w:r>
      <w:r>
        <w:rPr>
          <w:spacing w:val="-9"/>
          <w:w w:val="105"/>
        </w:rPr>
        <w:t> </w:t>
      </w:r>
      <w:r>
        <w:rPr>
          <w:w w:val="105"/>
        </w:rPr>
        <w:t>typically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initial terms of 3 to 10</w:t>
      </w:r>
      <w:r>
        <w:rPr>
          <w:spacing w:val="-7"/>
          <w:w w:val="105"/>
        </w:rPr>
        <w:t> </w:t>
      </w:r>
      <w:r>
        <w:rPr>
          <w:w w:val="105"/>
        </w:rPr>
        <w:t>years</w:t>
      </w:r>
      <w:r>
        <w:rPr>
          <w:b/>
          <w:w w:val="105"/>
        </w:rPr>
        <w:t>.</w:t>
      </w:r>
    </w:p>
    <w:p>
      <w:pPr>
        <w:pStyle w:val="BodyText"/>
        <w:spacing w:before="9"/>
        <w:rPr>
          <w:b/>
        </w:rPr>
      </w:pPr>
    </w:p>
    <w:p>
      <w:pPr>
        <w:pStyle w:val="BodyText"/>
        <w:ind w:left="110"/>
      </w:pPr>
      <w:r>
        <w:rPr>
          <w:w w:val="105"/>
        </w:rPr>
        <w:t>In addition, the Company leases pharmacy space at the stores of another retail chain</w:t>
      </w:r>
    </w:p>
    <w:sectPr>
      <w:pgSz w:w="12240" w:h="15840"/>
      <w:pgMar w:top="1500" w:bottom="280" w:left="24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7"/>
      <w:szCs w:val="17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Online, a division of R.R. Donnelley &amp; Sons Company</dc:creator>
  <cp:keywords>0000064803-20-000007; ; 10-K</cp:keywords>
  <dc:subject>10-K</dc:subject>
  <dc:title>0000064803-20-000007</dc:title>
  <dcterms:created xsi:type="dcterms:W3CDTF">2020-03-10T13:47:28Z</dcterms:created>
  <dcterms:modified xsi:type="dcterms:W3CDTF">2020-03-10T13:47:28Z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2020-02-18T00:00:00Z</vt:filetime>
  </property>
  <property fmtid="{D5CDD505-2E9C-101B-9397-08002B2CF9AE}" pid="3" name="Creator">
    <vt:lpwstr>EDGAR PDF Generator</vt:lpwstr>
  </property>
  <property fmtid="{D5CDD505-2E9C-101B-9397-08002B2CF9AE}" pid="4" name="LastSaved">
    <vt:filetime>2020-03-10T00:00:00Z</vt:filetime>
  </property>
</Properties>
</file>