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80"/>
        <w:ind w:left="110"/>
      </w:pPr>
      <w:r>
        <w:rPr>
          <w:w w:val="105"/>
        </w:rPr>
        <w:t>The following table provides information about receivables and contract liabilities from contracts with customers as of December 31, 2019 and 2018:</w:t>
      </w:r>
    </w:p>
    <w:p>
      <w:pPr>
        <w:pStyle w:val="BodyText"/>
        <w:spacing w:before="8"/>
        <w:rPr>
          <w:sz w:val="14"/>
        </w:r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9"/>
        <w:gridCol w:w="3732"/>
        <w:gridCol w:w="1294"/>
      </w:tblGrid>
      <w:tr>
        <w:trPr>
          <w:trHeight w:val="224" w:hRule="atLeast"/>
        </w:trPr>
        <w:tc>
          <w:tcPr>
            <w:tcW w:w="6489" w:type="dxa"/>
          </w:tcPr>
          <w:p>
            <w:pPr>
              <w:pStyle w:val="TableParagraph"/>
              <w:spacing w:line="179" w:lineRule="exact"/>
              <w:ind w:left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  <w:u w:val="single"/>
              </w:rPr>
              <w:t>In millions</w:t>
            </w:r>
          </w:p>
        </w:tc>
        <w:tc>
          <w:tcPr>
            <w:tcW w:w="37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ind w:right="47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2019</w:t>
            </w:r>
          </w:p>
        </w:tc>
        <w:tc>
          <w:tcPr>
            <w:tcW w:w="129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ind w:left="559"/>
              <w:rPr>
                <w:b/>
                <w:sz w:val="16"/>
              </w:rPr>
            </w:pPr>
            <w:r>
              <w:rPr>
                <w:b/>
                <w:sz w:val="16"/>
              </w:rPr>
              <w:t>2018</w:t>
            </w:r>
          </w:p>
        </w:tc>
      </w:tr>
      <w:tr>
        <w:trPr>
          <w:trHeight w:val="268" w:hRule="atLeast"/>
        </w:trPr>
        <w:tc>
          <w:tcPr>
            <w:tcW w:w="6489" w:type="dxa"/>
            <w:shd w:val="clear" w:color="auto" w:fill="CCEDFF"/>
          </w:tcPr>
          <w:p>
            <w:pPr>
              <w:pStyle w:val="TableParagraph"/>
              <w:spacing w:before="29"/>
              <w:ind w:left="26"/>
              <w:rPr>
                <w:sz w:val="17"/>
              </w:rPr>
            </w:pPr>
            <w:r>
              <w:rPr>
                <w:w w:val="105"/>
                <w:sz w:val="17"/>
              </w:rPr>
              <w:t>Trade receivables (included in accounts receivable, net)</w:t>
            </w:r>
          </w:p>
        </w:tc>
        <w:tc>
          <w:tcPr>
            <w:tcW w:w="3732" w:type="dxa"/>
            <w:tcBorders>
              <w:top w:val="single" w:sz="6" w:space="0" w:color="000000"/>
            </w:tcBorders>
            <w:shd w:val="clear" w:color="auto" w:fill="CCEDFF"/>
          </w:tcPr>
          <w:p>
            <w:pPr>
              <w:pStyle w:val="TableParagraph"/>
              <w:tabs>
                <w:tab w:pos="616" w:val="left" w:leader="none"/>
              </w:tabs>
              <w:spacing w:before="29"/>
              <w:ind w:right="17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6,717</w:t>
            </w:r>
          </w:p>
        </w:tc>
        <w:tc>
          <w:tcPr>
            <w:tcW w:w="1294" w:type="dxa"/>
            <w:tcBorders>
              <w:top w:val="single" w:sz="6" w:space="0" w:color="000000"/>
            </w:tcBorders>
            <w:shd w:val="clear" w:color="auto" w:fill="CCEDFF"/>
          </w:tcPr>
          <w:p>
            <w:pPr>
              <w:pStyle w:val="TableParagraph"/>
              <w:tabs>
                <w:tab w:pos="616" w:val="left" w:leader="none"/>
              </w:tabs>
              <w:spacing w:before="29"/>
              <w:ind w:right="105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6,497</w:t>
            </w:r>
          </w:p>
        </w:tc>
      </w:tr>
      <w:tr>
        <w:trPr>
          <w:trHeight w:val="226" w:hRule="atLeast"/>
        </w:trPr>
        <w:tc>
          <w:tcPr>
            <w:tcW w:w="6489" w:type="dxa"/>
          </w:tcPr>
          <w:p>
            <w:pPr>
              <w:pStyle w:val="TableParagraph"/>
              <w:spacing w:line="177" w:lineRule="exact" w:before="30"/>
              <w:ind w:left="26"/>
              <w:rPr>
                <w:sz w:val="17"/>
              </w:rPr>
            </w:pPr>
            <w:r>
              <w:rPr>
                <w:w w:val="105"/>
                <w:sz w:val="17"/>
              </w:rPr>
              <w:t>Contract liabilities (included in accrued expenses)</w:t>
            </w:r>
          </w:p>
        </w:tc>
        <w:tc>
          <w:tcPr>
            <w:tcW w:w="3732" w:type="dxa"/>
          </w:tcPr>
          <w:p>
            <w:pPr>
              <w:pStyle w:val="TableParagraph"/>
              <w:spacing w:line="177" w:lineRule="exact" w:before="30"/>
              <w:ind w:right="173"/>
              <w:jc w:val="right"/>
              <w:rPr>
                <w:sz w:val="17"/>
              </w:rPr>
            </w:pPr>
            <w:r>
              <w:rPr>
                <w:sz w:val="17"/>
              </w:rPr>
              <w:t>73</w:t>
            </w:r>
          </w:p>
        </w:tc>
        <w:tc>
          <w:tcPr>
            <w:tcW w:w="1294" w:type="dxa"/>
          </w:tcPr>
          <w:p>
            <w:pPr>
              <w:pStyle w:val="TableParagraph"/>
              <w:spacing w:line="177" w:lineRule="exact" w:before="30"/>
              <w:ind w:right="105"/>
              <w:jc w:val="right"/>
              <w:rPr>
                <w:sz w:val="17"/>
              </w:rPr>
            </w:pPr>
            <w:r>
              <w:rPr>
                <w:sz w:val="17"/>
              </w:rPr>
              <w:t>67</w:t>
            </w:r>
          </w:p>
        </w:tc>
      </w:tr>
    </w:tbl>
    <w:p>
      <w:pPr>
        <w:pStyle w:val="BodyText"/>
        <w:spacing w:before="6"/>
        <w:rPr>
          <w:sz w:val="21"/>
        </w:rPr>
      </w:pPr>
    </w:p>
    <w:p>
      <w:pPr>
        <w:pStyle w:val="BodyText"/>
        <w:spacing w:line="247" w:lineRule="auto"/>
        <w:ind w:left="110"/>
      </w:pPr>
      <w:r>
        <w:rPr>
          <w:w w:val="105"/>
        </w:rPr>
        <w:t>During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year</w:t>
      </w:r>
      <w:r>
        <w:rPr>
          <w:spacing w:val="-10"/>
          <w:w w:val="105"/>
        </w:rPr>
        <w:t> </w:t>
      </w:r>
      <w:r>
        <w:rPr>
          <w:w w:val="105"/>
        </w:rPr>
        <w:t>ended</w:t>
      </w:r>
      <w:r>
        <w:rPr>
          <w:spacing w:val="-9"/>
          <w:w w:val="105"/>
        </w:rPr>
        <w:t> </w:t>
      </w:r>
      <w:r>
        <w:rPr>
          <w:w w:val="105"/>
        </w:rPr>
        <w:t>December</w:t>
      </w:r>
      <w:r>
        <w:rPr>
          <w:spacing w:val="-10"/>
          <w:w w:val="105"/>
        </w:rPr>
        <w:t> </w:t>
      </w:r>
      <w:r>
        <w:rPr>
          <w:w w:val="105"/>
        </w:rPr>
        <w:t>31,</w:t>
      </w:r>
      <w:r>
        <w:rPr>
          <w:spacing w:val="-9"/>
          <w:w w:val="105"/>
        </w:rPr>
        <w:t> </w:t>
      </w:r>
      <w:r>
        <w:rPr>
          <w:w w:val="105"/>
        </w:rPr>
        <w:t>2019,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contract</w:t>
      </w:r>
      <w:r>
        <w:rPr>
          <w:spacing w:val="-10"/>
          <w:w w:val="105"/>
        </w:rPr>
        <w:t> </w:t>
      </w:r>
      <w:r>
        <w:rPr>
          <w:w w:val="105"/>
        </w:rPr>
        <w:t>liabilities</w:t>
      </w:r>
      <w:r>
        <w:rPr>
          <w:spacing w:val="-9"/>
          <w:w w:val="105"/>
        </w:rPr>
        <w:t> </w:t>
      </w:r>
      <w:r>
        <w:rPr>
          <w:w w:val="105"/>
        </w:rPr>
        <w:t>balance</w:t>
      </w:r>
      <w:r>
        <w:rPr>
          <w:spacing w:val="-10"/>
          <w:w w:val="105"/>
        </w:rPr>
        <w:t> </w:t>
      </w:r>
      <w:r>
        <w:rPr>
          <w:w w:val="105"/>
        </w:rPr>
        <w:t>includes</w:t>
      </w:r>
      <w:r>
        <w:rPr>
          <w:spacing w:val="-10"/>
          <w:w w:val="105"/>
        </w:rPr>
        <w:t> </w:t>
      </w:r>
      <w:r>
        <w:rPr>
          <w:w w:val="105"/>
        </w:rPr>
        <w:t>increases</w:t>
      </w:r>
      <w:r>
        <w:rPr>
          <w:spacing w:val="-10"/>
          <w:w w:val="105"/>
        </w:rPr>
        <w:t> </w:t>
      </w:r>
      <w:r>
        <w:rPr>
          <w:w w:val="105"/>
        </w:rPr>
        <w:t>related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customers’</w:t>
      </w:r>
      <w:r>
        <w:rPr>
          <w:spacing w:val="-9"/>
          <w:w w:val="105"/>
        </w:rPr>
        <w:t> </w:t>
      </w:r>
      <w:r>
        <w:rPr>
          <w:w w:val="105"/>
        </w:rPr>
        <w:t>earnings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ExtraBucks</w:t>
      </w:r>
      <w:r>
        <w:rPr>
          <w:spacing w:val="-10"/>
          <w:w w:val="105"/>
        </w:rPr>
        <w:t> </w:t>
      </w:r>
      <w:r>
        <w:rPr>
          <w:w w:val="105"/>
        </w:rPr>
        <w:t>Rewards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issuances</w:t>
      </w:r>
      <w:r>
        <w:rPr>
          <w:spacing w:val="-10"/>
          <w:w w:val="105"/>
        </w:rPr>
        <w:t> </w:t>
      </w:r>
      <w:r>
        <w:rPr>
          <w:w w:val="105"/>
        </w:rPr>
        <w:t>of Company gift cards and decreases for revenues recognized during the period as a result of the redemption of ExtraBucks Rewards or Company gift cards and breakage of Company gift cards. Below is a summary of such</w:t>
      </w:r>
      <w:r>
        <w:rPr>
          <w:spacing w:val="-19"/>
          <w:w w:val="105"/>
        </w:rPr>
        <w:t> </w:t>
      </w:r>
      <w:r>
        <w:rPr>
          <w:w w:val="105"/>
        </w:rPr>
        <w:t>changes:</w:t>
      </w:r>
    </w:p>
    <w:p>
      <w:pPr>
        <w:tabs>
          <w:tab w:pos="9508" w:val="left" w:leader="none"/>
          <w:tab w:pos="11207" w:val="right" w:leader="none"/>
        </w:tabs>
        <w:spacing w:before="160"/>
        <w:ind w:left="137" w:right="0" w:firstLine="0"/>
        <w:jc w:val="left"/>
        <w:rPr>
          <w:b/>
          <w:sz w:val="16"/>
        </w:rPr>
      </w:pPr>
      <w:r>
        <w:rPr>
          <w:b/>
          <w:i/>
          <w:sz w:val="16"/>
          <w:u w:val="single"/>
        </w:rPr>
        <w:t>In</w:t>
      </w:r>
      <w:r>
        <w:rPr>
          <w:b/>
          <w:i/>
          <w:spacing w:val="2"/>
          <w:sz w:val="16"/>
          <w:u w:val="single"/>
        </w:rPr>
        <w:t> </w:t>
      </w:r>
      <w:r>
        <w:rPr>
          <w:b/>
          <w:i/>
          <w:sz w:val="16"/>
          <w:u w:val="single"/>
        </w:rPr>
        <w:t>millions</w:t>
      </w:r>
      <w:r>
        <w:rPr>
          <w:b/>
          <w:i/>
          <w:sz w:val="16"/>
        </w:rPr>
        <w:tab/>
      </w:r>
      <w:r>
        <w:rPr>
          <w:b/>
          <w:sz w:val="16"/>
        </w:rPr>
        <w:t>2019</w:t>
        <w:tab/>
        <w:t>2018</w:t>
      </w:r>
    </w:p>
    <w:p>
      <w:pPr>
        <w:pStyle w:val="BodyText"/>
        <w:tabs>
          <w:tab w:pos="9117" w:val="left" w:leader="none"/>
          <w:tab w:pos="9967" w:val="left" w:leader="none"/>
          <w:tab w:pos="10493" w:val="left" w:leader="none"/>
          <w:tab w:pos="11518" w:val="right" w:leader="none"/>
        </w:tabs>
        <w:spacing w:before="90"/>
        <w:ind w:left="137"/>
      </w:pPr>
      <w:r>
        <w:rPr/>
        <w:pict>
          <v:group style="position:absolute;margin-left:17.529449pt;margin-top:2.322403pt;width:575.8pt;height:14.2pt;mso-position-horizontal-relative:page;mso-position-vertical-relative:paragraph;z-index:-3400" coordorigin="351,46" coordsize="11516,284">
            <v:rect style="position:absolute;left:350;top:46;width:8981;height:284" filled="true" fillcolor="#ccedff" stroked="false">
              <v:fill type="solid"/>
            </v:rect>
            <v:line style="position:absolute" from="9398,46" to="9398,330" stroked="true" strokeweight="6.742096pt" strokecolor="#ccedff">
              <v:stroke dashstyle="solid"/>
            </v:line>
            <v:rect style="position:absolute;left:9465;top:46;width:917;height:284" filled="true" fillcolor="#ccedff" stroked="false">
              <v:fill type="solid"/>
            </v:rect>
            <v:line style="position:absolute" from="10437,46" to="10437,330" stroked="true" strokeweight="5.393677pt" strokecolor="#ccedff">
              <v:stroke dashstyle="solid"/>
            </v:line>
            <v:rect style="position:absolute;left:10490;top:46;width:216;height:284" filled="true" fillcolor="#ccedff" stroked="false">
              <v:fill type="solid"/>
            </v:rect>
            <v:line style="position:absolute" from="10774,46" to="10774,330" stroked="true" strokeweight="6.742096pt" strokecolor="#ccedff">
              <v:stroke dashstyle="solid"/>
            </v:line>
            <v:rect style="position:absolute;left:10841;top:46;width:917;height:284" filled="true" fillcolor="#ccedff" stroked="false">
              <v:fill type="solid"/>
            </v:rect>
            <v:line style="position:absolute" from="11812,46" to="11812,330" stroked="true" strokeweight="5.393677pt" strokecolor="#ccedff">
              <v:stroke dashstyle="solid"/>
            </v:line>
            <v:shape style="position:absolute;left:9331;top:53;width:2536;height:2" coordorigin="9331,53" coordsize="2536,0" path="m9331,53l10491,53m10706,53l11866,53e" filled="false" stroked="true" strokeweight=".67421pt" strokecolor="#000000">
              <v:path arrowok="t"/>
              <v:stroke dashstyle="solid"/>
            </v:shape>
            <v:rect style="position:absolute;left:9331;top:46;width:135;height:14" filled="true" fillcolor="#000000" stroked="false">
              <v:fill type="solid"/>
            </v:rect>
            <v:line style="position:absolute" from="9466,53" to="10383,53" stroked="true" strokeweight=".67421pt" strokecolor="#000000">
              <v:stroke dashstyle="solid"/>
            </v:line>
            <v:shape style="position:absolute;left:10382;top:46;width:459;height:14" coordorigin="10383,46" coordsize="459,14" path="m10491,46l10383,46,10383,60,10491,60,10491,46m10841,46l10706,46,10706,60,10841,60,10841,46e" filled="true" fillcolor="#000000" stroked="false">
              <v:path arrowok="t"/>
              <v:fill type="solid"/>
            </v:shape>
            <v:line style="position:absolute" from="10841,53" to="11758,53" stroked="true" strokeweight=".67421pt" strokecolor="#000000">
              <v:stroke dashstyle="solid"/>
            </v:line>
            <v:rect style="position:absolute;left:11758;top:46;width:108;height:14" filled="true" fillcolor="#000000" stroked="false">
              <v:fill type="solid"/>
            </v:rect>
            <w10:wrap type="none"/>
          </v:group>
        </w:pict>
      </w:r>
      <w:r>
        <w:rPr>
          <w:w w:val="105"/>
        </w:rPr>
        <w:t>Balance at December</w:t>
      </w:r>
      <w:r>
        <w:rPr>
          <w:spacing w:val="-25"/>
          <w:w w:val="105"/>
        </w:rPr>
        <w:t> </w:t>
      </w:r>
      <w:r>
        <w:rPr>
          <w:w w:val="105"/>
        </w:rPr>
        <w:t>31,</w:t>
      </w:r>
      <w:r>
        <w:rPr>
          <w:spacing w:val="-8"/>
          <w:w w:val="105"/>
        </w:rPr>
        <w:t> </w:t>
      </w:r>
      <w:r>
        <w:rPr>
          <w:w w:val="105"/>
        </w:rPr>
        <w:t>2018</w:t>
        <w:tab/>
        <w:t>$</w:t>
        <w:tab/>
        <w:t>67</w:t>
        <w:tab/>
        <w:t>$</w:t>
        <w:tab/>
        <w:t>53</w:t>
      </w:r>
    </w:p>
    <w:p>
      <w:pPr>
        <w:pStyle w:val="BodyText"/>
        <w:tabs>
          <w:tab w:pos="9967" w:val="left" w:leader="none"/>
          <w:tab w:pos="11518" w:val="right" w:leader="none"/>
        </w:tabs>
        <w:spacing w:before="74" w:after="44"/>
        <w:ind w:left="137"/>
      </w:pPr>
      <w:r>
        <w:rPr>
          <w:w w:val="105"/>
        </w:rPr>
        <w:t>Adoption of</w:t>
      </w:r>
      <w:r>
        <w:rPr>
          <w:spacing w:val="-18"/>
          <w:w w:val="105"/>
        </w:rPr>
        <w:t> </w:t>
      </w:r>
      <w:r>
        <w:rPr>
          <w:w w:val="105"/>
        </w:rPr>
        <w:t>ASU</w:t>
      </w:r>
      <w:r>
        <w:rPr>
          <w:spacing w:val="-9"/>
          <w:w w:val="105"/>
        </w:rPr>
        <w:t> </w:t>
      </w:r>
      <w:r>
        <w:rPr>
          <w:w w:val="105"/>
        </w:rPr>
        <w:t>2014-09</w:t>
        <w:tab/>
        <w:t>—</w:t>
        <w:tab/>
        <w:t>17</w:t>
      </w: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5"/>
        <w:gridCol w:w="4641"/>
        <w:gridCol w:w="1278"/>
      </w:tblGrid>
      <w:tr>
        <w:trPr>
          <w:trHeight w:val="302" w:hRule="atLeast"/>
        </w:trPr>
        <w:tc>
          <w:tcPr>
            <w:tcW w:w="11514" w:type="dxa"/>
            <w:gridSpan w:val="3"/>
            <w:shd w:val="clear" w:color="auto" w:fill="CCEDFF"/>
          </w:tcPr>
          <w:p>
            <w:pPr>
              <w:pStyle w:val="TableParagraph"/>
              <w:tabs>
                <w:tab w:pos="9769" w:val="left" w:leader="none"/>
                <w:tab w:pos="11407" w:val="right" w:leader="none"/>
              </w:tabs>
              <w:spacing w:before="30"/>
              <w:ind w:left="26"/>
              <w:rPr>
                <w:sz w:val="17"/>
              </w:rPr>
            </w:pPr>
            <w:r>
              <w:rPr>
                <w:w w:val="105"/>
                <w:sz w:val="17"/>
              </w:rPr>
              <w:t>Rewards earnings and gift</w:t>
            </w:r>
            <w:r>
              <w:rPr>
                <w:spacing w:val="-3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card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issuances</w:t>
              <w:tab/>
              <w:t>365</w:t>
              <w:tab/>
              <w:t>332</w:t>
            </w:r>
          </w:p>
        </w:tc>
      </w:tr>
      <w:tr>
        <w:trPr>
          <w:trHeight w:val="236" w:hRule="atLeast"/>
        </w:trPr>
        <w:tc>
          <w:tcPr>
            <w:tcW w:w="5595" w:type="dxa"/>
          </w:tcPr>
          <w:p>
            <w:pPr>
              <w:pStyle w:val="TableParagraph"/>
              <w:spacing w:line="193" w:lineRule="exact"/>
              <w:ind w:left="26"/>
              <w:rPr>
                <w:sz w:val="17"/>
              </w:rPr>
            </w:pPr>
            <w:r>
              <w:rPr>
                <w:w w:val="105"/>
                <w:sz w:val="17"/>
              </w:rPr>
              <w:t>Redemption and breakage</w:t>
            </w:r>
          </w:p>
        </w:tc>
        <w:tc>
          <w:tcPr>
            <w:tcW w:w="46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3" w:lineRule="exact"/>
              <w:ind w:right="143"/>
              <w:jc w:val="right"/>
              <w:rPr>
                <w:sz w:val="17"/>
              </w:rPr>
            </w:pPr>
            <w:r>
              <w:rPr>
                <w:sz w:val="17"/>
              </w:rPr>
              <w:t>(359)</w:t>
            </w:r>
          </w:p>
        </w:tc>
        <w:tc>
          <w:tcPr>
            <w:tcW w:w="12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3" w:lineRule="exact"/>
              <w:ind w:left="850"/>
              <w:rPr>
                <w:sz w:val="17"/>
              </w:rPr>
            </w:pPr>
            <w:r>
              <w:rPr>
                <w:w w:val="105"/>
                <w:sz w:val="17"/>
              </w:rPr>
              <w:t>(335)</w:t>
            </w:r>
          </w:p>
        </w:tc>
      </w:tr>
      <w:tr>
        <w:trPr>
          <w:trHeight w:val="266" w:hRule="atLeast"/>
        </w:trPr>
        <w:tc>
          <w:tcPr>
            <w:tcW w:w="5595" w:type="dxa"/>
            <w:shd w:val="clear" w:color="auto" w:fill="CCEDFF"/>
          </w:tcPr>
          <w:p>
            <w:pPr>
              <w:pStyle w:val="TableParagraph"/>
              <w:spacing w:before="42"/>
              <w:ind w:left="26"/>
              <w:rPr>
                <w:sz w:val="17"/>
              </w:rPr>
            </w:pPr>
            <w:r>
              <w:rPr>
                <w:w w:val="105"/>
                <w:sz w:val="17"/>
              </w:rPr>
              <w:t>Balance at December 31, 2019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CEDFF"/>
          </w:tcPr>
          <w:p>
            <w:pPr>
              <w:pStyle w:val="TableParagraph"/>
              <w:tabs>
                <w:tab w:pos="849" w:val="left" w:leader="none"/>
              </w:tabs>
              <w:spacing w:before="29"/>
              <w:ind w:right="201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73</w:t>
            </w:r>
          </w:p>
        </w:tc>
        <w:tc>
          <w:tcPr>
            <w:tcW w:w="1278" w:type="dxa"/>
            <w:tcBorders>
              <w:top w:val="single" w:sz="6" w:space="0" w:color="000000"/>
              <w:bottom w:val="double" w:sz="2" w:space="0" w:color="000000"/>
            </w:tcBorders>
            <w:shd w:val="clear" w:color="auto" w:fill="CCEDFF"/>
          </w:tcPr>
          <w:p>
            <w:pPr>
              <w:pStyle w:val="TableParagraph"/>
              <w:tabs>
                <w:tab w:pos="996" w:val="left" w:leader="none"/>
              </w:tabs>
              <w:spacing w:before="29"/>
              <w:ind w:left="146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  <w:t>67</w:t>
            </w:r>
          </w:p>
        </w:tc>
      </w:tr>
    </w:tbl>
    <w:sectPr>
      <w:pgSz w:w="12240" w:h="15840"/>
      <w:pgMar w:top="580" w:bottom="280" w:left="240" w:right="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imes New Roman" w:hAnsi="Times New Roman" w:eastAsia="Times New Roman" w:cs="Times New Roman"/>
      <w:sz w:val="17"/>
      <w:szCs w:val="17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Online, a division of R.R. Donnelley &amp; Sons Company</dc:creator>
  <cp:keywords>0000064803-20-000007; ; 10-K</cp:keywords>
  <dc:subject>10-K</dc:subject>
  <dc:title>0000064803-20-000007</dc:title>
  <dcterms:created xsi:type="dcterms:W3CDTF">2020-03-10T18:18:17Z</dcterms:created>
  <dcterms:modified xsi:type="dcterms:W3CDTF">2020-03-10T18:18:17Z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2020-02-18T00:00:00Z</vt:filetime>
  </property>
  <property fmtid="{D5CDD505-2E9C-101B-9397-08002B2CF9AE}" pid="3" name="Creator">
    <vt:lpwstr>EDGAR PDF Generator</vt:lpwstr>
  </property>
  <property fmtid="{D5CDD505-2E9C-101B-9397-08002B2CF9AE}" pid="4" name="LastSaved">
    <vt:filetime>2020-03-10T00:00:00Z</vt:filetime>
  </property>
</Properties>
</file>