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FBC1" w14:textId="77777777" w:rsidR="008C34FE" w:rsidRDefault="00000000">
      <w:pPr>
        <w:spacing w:after="40"/>
      </w:pPr>
      <w:r>
        <w:rPr>
          <w:rFonts w:ascii="Arial" w:eastAsia="Arial" w:hAnsi="Arial" w:cs="Arial"/>
          <w:b/>
          <w:bCs/>
          <w:color w:val="2E5090"/>
          <w:sz w:val="20"/>
          <w:szCs w:val="20"/>
        </w:rPr>
        <w:t>MEMO</w:t>
      </w:r>
    </w:p>
    <w:p w14:paraId="46F1DC00" w14:textId="77777777" w:rsidR="008C34FE" w:rsidRDefault="00000000">
      <w:r>
        <w:rPr>
          <w:b/>
          <w:bCs/>
          <w:sz w:val="22"/>
          <w:szCs w:val="22"/>
        </w:rPr>
        <w:t xml:space="preserve">To: </w:t>
      </w:r>
      <w:r>
        <w:rPr>
          <w:sz w:val="22"/>
          <w:szCs w:val="22"/>
        </w:rPr>
        <w:t>CMU METALS Capstone Team</w:t>
      </w:r>
    </w:p>
    <w:p w14:paraId="4791D161" w14:textId="77777777" w:rsidR="008C34FE" w:rsidRDefault="00000000">
      <w:r>
        <w:rPr>
          <w:b/>
          <w:bCs/>
          <w:sz w:val="22"/>
          <w:szCs w:val="22"/>
        </w:rPr>
        <w:t xml:space="preserve">From: </w:t>
      </w:r>
      <w:r>
        <w:rPr>
          <w:sz w:val="22"/>
          <w:szCs w:val="22"/>
        </w:rPr>
        <w:t>Rick Antle</w:t>
      </w:r>
    </w:p>
    <w:p w14:paraId="401A46DD" w14:textId="77777777" w:rsidR="008C34FE" w:rsidRDefault="00000000">
      <w:r>
        <w:rPr>
          <w:b/>
          <w:bCs/>
          <w:sz w:val="22"/>
          <w:szCs w:val="22"/>
        </w:rPr>
        <w:t xml:space="preserve">Date: </w:t>
      </w:r>
      <w:r>
        <w:rPr>
          <w:sz w:val="22"/>
          <w:szCs w:val="22"/>
        </w:rPr>
        <w:t>March 18, 2026</w:t>
      </w:r>
    </w:p>
    <w:p w14:paraId="4B1D50D8" w14:textId="77777777" w:rsidR="008C34FE" w:rsidRDefault="00000000">
      <w:pPr>
        <w:pBdr>
          <w:bottom w:val="single" w:sz="4" w:space="8" w:color="2E5090"/>
        </w:pBdr>
        <w:spacing w:after="200"/>
      </w:pPr>
      <w:r>
        <w:rPr>
          <w:b/>
          <w:bCs/>
          <w:sz w:val="22"/>
          <w:szCs w:val="22"/>
        </w:rPr>
        <w:t xml:space="preserve">Re: </w:t>
      </w:r>
      <w:r>
        <w:rPr>
          <w:sz w:val="22"/>
          <w:szCs w:val="22"/>
        </w:rPr>
        <w:t>Central Idea Flows of the Redesigned Prework</w:t>
      </w:r>
    </w:p>
    <w:p w14:paraId="3EB35007" w14:textId="77777777" w:rsidR="008C34FE" w:rsidRDefault="00000000">
      <w:pPr>
        <w:pStyle w:val="Heading1"/>
      </w:pPr>
      <w:r>
        <w:t>The Governing Idea</w:t>
      </w:r>
    </w:p>
    <w:p w14:paraId="0011E30E" w14:textId="7F05FE60" w:rsidR="008C34FE" w:rsidRDefault="00000000">
      <w:pPr>
        <w:spacing w:after="200"/>
      </w:pPr>
      <w:r>
        <w:t xml:space="preserve">The redesigned prework is organized around a single thesis: accounting is an information system — designed by humans, for humans, </w:t>
      </w:r>
      <w:r w:rsidR="00475534">
        <w:t>and implemented by humans</w:t>
      </w:r>
      <w:r>
        <w:t xml:space="preserve">. When the economic </w:t>
      </w:r>
      <w:r w:rsidR="00475534">
        <w:t>activity</w:t>
      </w:r>
      <w:r>
        <w:t xml:space="preserve"> of an organization exceeds what any individual or group can hold in their heads, </w:t>
      </w:r>
      <w:r w:rsidR="00475534">
        <w:t>well-designed</w:t>
      </w:r>
      <w:r>
        <w:t xml:space="preserve"> information system</w:t>
      </w:r>
      <w:r w:rsidR="00475534">
        <w:t>s</w:t>
      </w:r>
      <w:r>
        <w:t xml:space="preserve"> </w:t>
      </w:r>
      <w:r w:rsidR="00475534">
        <w:t>can help</w:t>
      </w:r>
      <w:r>
        <w:t xml:space="preserve">. </w:t>
      </w:r>
      <w:r w:rsidR="00475534">
        <w:t>An information</w:t>
      </w:r>
      <w:r>
        <w:t xml:space="preserve"> system takes raw events as inputs, processes them through a disciplined architecture, and produces structured outputs that </w:t>
      </w:r>
      <w:r w:rsidR="00475534">
        <w:t>people</w:t>
      </w:r>
      <w:r>
        <w:t xml:space="preserve"> </w:t>
      </w:r>
      <w:r w:rsidR="00475534">
        <w:t>can consult</w:t>
      </w:r>
      <w:r>
        <w:t xml:space="preserve"> for specific purposes.</w:t>
      </w:r>
    </w:p>
    <w:p w14:paraId="494040A4" w14:textId="77777777" w:rsidR="008C34FE" w:rsidRDefault="00000000">
      <w:pPr>
        <w:spacing w:after="200"/>
      </w:pPr>
      <w:r>
        <w:t xml:space="preserve">Every design choice in the system — what to record, how to quantify it, when to recognize it, how to present it — is a response to this problem. And because the system must compress complex reality into a </w:t>
      </w:r>
      <w:proofErr w:type="gramStart"/>
      <w:r>
        <w:t>form human minds</w:t>
      </w:r>
      <w:proofErr w:type="gramEnd"/>
      <w:r>
        <w:t xml:space="preserve"> can work with, every design choice involves a tradeoff. There is no tradeoff-free accounting system; that would be reality itself, which is precisely what was too complex to work with in the first place.</w:t>
      </w:r>
    </w:p>
    <w:p w14:paraId="40FCA208" w14:textId="77777777" w:rsidR="008C34FE" w:rsidRDefault="00000000">
      <w:pPr>
        <w:pStyle w:val="Heading1"/>
      </w:pPr>
      <w:r>
        <w:t>Architecture and Instance</w:t>
      </w:r>
    </w:p>
    <w:p w14:paraId="36E0D4D7" w14:textId="77777777" w:rsidR="008C34FE" w:rsidRDefault="00000000">
      <w:pPr>
        <w:spacing w:after="200"/>
      </w:pPr>
      <w:r>
        <w:t>A critical distinction organizes the entire prework: the difference between the general architecture and a specific instance. The architecture is the deep structure shared by every accounting system on earth: the accounting identity, double-entry recording, the requirement that changes in equity be explained, and the four output channels (balance sheet, income statement, statement of changes in equity, statement of cash flows). These are universal. No instance can violate them.</w:t>
      </w:r>
    </w:p>
    <w:p w14:paraId="6A51FDF7" w14:textId="77777777" w:rsidR="008C34FE" w:rsidRDefault="00000000">
      <w:pPr>
        <w:spacing w:after="200"/>
      </w:pPr>
      <w:r>
        <w:t>An instance is what you get when a rule-making body makes specific choices for a specific class of entities. US GAAP (FASB, for US for-profit entities), IFRS (IASB, for most of the rest of the world), governmental accounting (GASB) — each makes different decisions about recognition thresholds, quantification conventions, and disclosure requirements. The prework studies one instance in depth — US GAAP applied to a for-profit corporation — but the pedagogical goal is always the architecture. Whenever a GAAP-specific rule appears, it is identified as an instance choice: a decision that could have been made differently, and that is made differently elsewhere.</w:t>
      </w:r>
    </w:p>
    <w:p w14:paraId="6688DFF8" w14:textId="77777777" w:rsidR="008C34FE" w:rsidRDefault="00000000">
      <w:pPr>
        <w:pStyle w:val="Heading1"/>
      </w:pPr>
      <w:r>
        <w:t>The Idea Flow Through Eight Modules</w:t>
      </w:r>
    </w:p>
    <w:p w14:paraId="2C0514DF" w14:textId="77777777" w:rsidR="008C34FE" w:rsidRDefault="00000000">
      <w:pPr>
        <w:pStyle w:val="Heading2"/>
      </w:pPr>
      <w:r>
        <w:t>Module 1: Welcome and Orientation</w:t>
      </w:r>
    </w:p>
    <w:p w14:paraId="59FE7871" w14:textId="77777777" w:rsidR="008C34FE" w:rsidRDefault="00000000">
      <w:pPr>
        <w:spacing w:after="200"/>
      </w:pPr>
      <w:r>
        <w:t xml:space="preserve">The student’s first encounter with the prework establishes three things in sequence. First, why accounting exists: complexity. A lemonade stand needs no information system; CVS Health does. Second, what kind of thing accounting is: an information system with inputs, processing, outputs, and users. Third, the architecture/instance </w:t>
      </w:r>
      <w:r>
        <w:lastRenderedPageBreak/>
        <w:t>distinction: there is a general structure shared by every accounting system, and there are specific instantiations of it. The student is told that the prework teaches the architecture through the lens of one instance.</w:t>
      </w:r>
    </w:p>
    <w:p w14:paraId="125F6131" w14:textId="77777777" w:rsidR="008C34FE" w:rsidRDefault="00000000">
      <w:pPr>
        <w:pStyle w:val="Heading2"/>
      </w:pPr>
      <w:r>
        <w:t>Module 2: Why Accounting Exists</w:t>
      </w:r>
    </w:p>
    <w:p w14:paraId="70205BFB" w14:textId="77777777" w:rsidR="008C34FE" w:rsidRDefault="00000000">
      <w:pPr>
        <w:spacing w:after="200"/>
      </w:pPr>
      <w:r>
        <w:t>Module 2 answers the question: who uses the system, and for what purposes? Three categories of users make demands on the system’s outputs. Decision-makers (investors, managers) need information to reduce uncertainty. Contracting parties (lenders writing covenants, donors attaching restrictions, grantors specifying conditions) need accounting numbers as enforceable commitments. The justice system (courts, regulators) needs verifiable records to assess damages and compliance. These are not just use cases — they are the demands that shaped the system’s design. The accounting identity is introduced as the load-bearing wall: every instance looks different from the outside, but the structural skeleton is the same.</w:t>
      </w:r>
    </w:p>
    <w:p w14:paraId="24759B74" w14:textId="77777777" w:rsidR="008C34FE" w:rsidRDefault="00000000">
      <w:pPr>
        <w:pStyle w:val="Heading2"/>
      </w:pPr>
      <w:r>
        <w:t>Module 3: Worth, Quantification, and the Limits of the Architecture</w:t>
      </w:r>
    </w:p>
    <w:p w14:paraId="4ED980F0" w14:textId="77777777" w:rsidR="008C34FE" w:rsidRDefault="00000000">
      <w:pPr>
        <w:spacing w:after="200"/>
      </w:pPr>
      <w:r>
        <w:t>Module 3 turns to how the system processes its inputs — and where it goes silent. Three moves, in sequence. First: what ‘worth’ means. Money does not measure worth the way a ruler measures length. Money expresses worth — a shared convention, not a natural law. Second: how accounting quantifies worth, in three layers of tradeoff. Arm’s-length transactions are the strongest epistemic anchor (verifiability gained, timeliness sacrificed). Adjustments away from cost update quantification as conditions change (relevance gained, verifiability sacrificed). Estimation and allocation assign numbers where no direct evidence exists (completeness gained, precision sacrificed). Third: the incomplete markets principle. The system captures what transacted in markets; it is silent about everything that did not. Human capital, internally generated brands, relational assets, strategic options — all invisible. The balance sheet is a partial picture, honestly drawn.</w:t>
      </w:r>
    </w:p>
    <w:p w14:paraId="09346230" w14:textId="77777777" w:rsidR="008C34FE" w:rsidRDefault="00000000">
      <w:pPr>
        <w:pStyle w:val="Heading2"/>
      </w:pPr>
      <w:r>
        <w:t>Module 4: The Architecture Itself</w:t>
      </w:r>
    </w:p>
    <w:p w14:paraId="39A78D9A" w14:textId="77777777" w:rsidR="008C34FE" w:rsidRDefault="00000000">
      <w:pPr>
        <w:spacing w:after="200"/>
      </w:pPr>
      <w:r>
        <w:t>Module 4 presents the system’s engine: the accounting identity, imposed (not derived) at every point in time. The identity is itself a tradeoff — by requiring that everything balance, the system gains internal consistency, auditability, and error detection at the cost of flexibility. When the identity is imposed at two successive points in time, the system requires that any change in the residual (equity) be explained. That requirement generates the four financial statements as four windows onto one structure: the balance sheet (the state), the income statement (operations), the statement of changes in equity (the complete bridge), and the statement of cash flows (inflows and outflows, tracked separately).</w:t>
      </w:r>
    </w:p>
    <w:p w14:paraId="6BF00F54" w14:textId="77777777" w:rsidR="008C34FE" w:rsidRDefault="00000000">
      <w:pPr>
        <w:pStyle w:val="Heading2"/>
      </w:pPr>
      <w:r>
        <w:t>Modules 5–7: The Instance in Action — CVS Health</w:t>
      </w:r>
    </w:p>
    <w:p w14:paraId="7389072B" w14:textId="77777777" w:rsidR="008C34FE" w:rsidRDefault="00000000">
      <w:pPr>
        <w:spacing w:after="200"/>
      </w:pPr>
      <w:r>
        <w:t xml:space="preserve">Modules 5 through 7 walk the student through one instantiation of the architecture: CVS Health Corporation, reporting under US GAAP. The balance sheets (Module 5) show the identity at two points in time, with goodwill from the Aetna acquisition illustrating the input boundary — intangible assets appear because a transaction anchored them; </w:t>
      </w:r>
      <w:r>
        <w:lastRenderedPageBreak/>
        <w:t>organically built equivalents do not. The income statement (Module 6) explains one category of equity change: operations. The cash flow statement (Module 7) provides the most concrete window — cash involves no estimation, no convention, no judgment. Throughout, every number is traced to both the architecture that produced it and the instance-specific choices (GAAP rules) that shaped it.</w:t>
      </w:r>
    </w:p>
    <w:p w14:paraId="6AE4EDFC" w14:textId="77777777" w:rsidR="008C34FE" w:rsidRDefault="00000000">
      <w:pPr>
        <w:pStyle w:val="Heading2"/>
      </w:pPr>
      <w:r>
        <w:t>Module 8: The Analyst’s Toolkit</w:t>
      </w:r>
    </w:p>
    <w:p w14:paraId="6B8AD601" w14:textId="77777777" w:rsidR="008C34FE" w:rsidRDefault="00000000">
      <w:pPr>
        <w:spacing w:after="200"/>
      </w:pPr>
      <w:r>
        <w:t>Module 8 closes the loop. Having seen the system’s outputs (the financial statements), students now learn the input language: debits and credits as position in the accounting identity, T-accounts as visual registers of how accounts evolve, and journal entries as a structured language for describing economic events. These are architectural — they do not vary across instances. A nonprofit bookkeeper and a German accountant under HGB use the same notation. The student ends having walked the entire system: why it exists, how it processes, what its outputs look like, and how inputs enter.</w:t>
      </w:r>
    </w:p>
    <w:p w14:paraId="4840CF23" w14:textId="77777777" w:rsidR="008C34FE" w:rsidRDefault="00000000">
      <w:pPr>
        <w:pStyle w:val="Heading1"/>
      </w:pPr>
      <w:r>
        <w:t>The Pedagogical Stance</w:t>
      </w:r>
    </w:p>
    <w:p w14:paraId="79574568" w14:textId="77777777" w:rsidR="008C34FE" w:rsidRDefault="00000000">
      <w:pPr>
        <w:spacing w:after="200"/>
      </w:pPr>
      <w:r>
        <w:t xml:space="preserve">The system exists because complexity exceeds cognitive capacity. It manages that complexity by compressing economic reality into structured representations. Compression requires choices, and choices involve tradeoffs. The student’s role is not to receive the system’s outputs passively but to read them with understanding — knowing what conventions produced them, what tradeoffs shaped them, and what the system cannot show. The prework conveys this stance by never presenting a rule without explaining the tradeoff it </w:t>
      </w:r>
      <w:proofErr w:type="gramStart"/>
      <w:r>
        <w:t>reflects, and</w:t>
      </w:r>
      <w:proofErr w:type="gramEnd"/>
      <w:r>
        <w:t xml:space="preserve"> never presenting a number without asking what it captures and what it omits. By the end, the student should instinctively ask those questions — not because they were told to, but because the material trained them to.</w:t>
      </w:r>
    </w:p>
    <w:sectPr w:rsidR="008C34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FA11" w14:textId="77777777" w:rsidR="00F752AD" w:rsidRDefault="00F752AD">
      <w:r>
        <w:separator/>
      </w:r>
    </w:p>
  </w:endnote>
  <w:endnote w:type="continuationSeparator" w:id="0">
    <w:p w14:paraId="4D47BB09" w14:textId="77777777" w:rsidR="00F752AD" w:rsidRDefault="00F7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B152" w14:textId="77777777" w:rsidR="008C34FE"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475534">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BDB51" w14:textId="77777777" w:rsidR="00F752AD" w:rsidRDefault="00F752AD">
      <w:r>
        <w:separator/>
      </w:r>
    </w:p>
  </w:footnote>
  <w:footnote w:type="continuationSeparator" w:id="0">
    <w:p w14:paraId="3C8BC677" w14:textId="77777777" w:rsidR="00F752AD" w:rsidRDefault="00F7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8F93" w14:textId="77777777" w:rsidR="008C34FE" w:rsidRDefault="00000000">
    <w:pPr>
      <w:pBdr>
        <w:bottom w:val="single" w:sz="4" w:space="4" w:color="2E5090"/>
      </w:pBdr>
      <w:tabs>
        <w:tab w:val="right" w:pos="9026"/>
      </w:tabs>
    </w:pPr>
    <w:r>
      <w:rPr>
        <w:rFonts w:ascii="Arial" w:eastAsia="Arial" w:hAnsi="Arial" w:cs="Arial"/>
        <w:color w:val="2E5090"/>
        <w:sz w:val="18"/>
        <w:szCs w:val="18"/>
      </w:rPr>
      <w:t>CMU METALS Prework Redesign</w:t>
    </w:r>
    <w:r>
      <w:rPr>
        <w:rFonts w:ascii="Arial" w:eastAsia="Arial" w:hAnsi="Arial" w:cs="Arial"/>
        <w:color w:val="888888"/>
        <w:sz w:val="18"/>
        <w:szCs w:val="18"/>
      </w:rPr>
      <w:tab/>
      <w:t>March 18,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43C"/>
    <w:multiLevelType w:val="hybridMultilevel"/>
    <w:tmpl w:val="B396190E"/>
    <w:lvl w:ilvl="0" w:tplc="8A06AF0E">
      <w:start w:val="1"/>
      <w:numFmt w:val="bullet"/>
      <w:lvlText w:val="●"/>
      <w:lvlJc w:val="left"/>
      <w:pPr>
        <w:ind w:left="720" w:hanging="360"/>
      </w:pPr>
    </w:lvl>
    <w:lvl w:ilvl="1" w:tplc="3EACD25C">
      <w:start w:val="1"/>
      <w:numFmt w:val="bullet"/>
      <w:lvlText w:val="○"/>
      <w:lvlJc w:val="left"/>
      <w:pPr>
        <w:ind w:left="1440" w:hanging="360"/>
      </w:pPr>
    </w:lvl>
    <w:lvl w:ilvl="2" w:tplc="B1E89DCC">
      <w:start w:val="1"/>
      <w:numFmt w:val="bullet"/>
      <w:lvlText w:val="■"/>
      <w:lvlJc w:val="left"/>
      <w:pPr>
        <w:ind w:left="2160" w:hanging="360"/>
      </w:pPr>
    </w:lvl>
    <w:lvl w:ilvl="3" w:tplc="32AC6E68">
      <w:start w:val="1"/>
      <w:numFmt w:val="bullet"/>
      <w:lvlText w:val="●"/>
      <w:lvlJc w:val="left"/>
      <w:pPr>
        <w:ind w:left="2880" w:hanging="360"/>
      </w:pPr>
    </w:lvl>
    <w:lvl w:ilvl="4" w:tplc="EE6C2ACE">
      <w:start w:val="1"/>
      <w:numFmt w:val="bullet"/>
      <w:lvlText w:val="○"/>
      <w:lvlJc w:val="left"/>
      <w:pPr>
        <w:ind w:left="3600" w:hanging="360"/>
      </w:pPr>
    </w:lvl>
    <w:lvl w:ilvl="5" w:tplc="A78C39F8">
      <w:start w:val="1"/>
      <w:numFmt w:val="bullet"/>
      <w:lvlText w:val="■"/>
      <w:lvlJc w:val="left"/>
      <w:pPr>
        <w:ind w:left="4320" w:hanging="360"/>
      </w:pPr>
    </w:lvl>
    <w:lvl w:ilvl="6" w:tplc="36105484">
      <w:start w:val="1"/>
      <w:numFmt w:val="bullet"/>
      <w:lvlText w:val="●"/>
      <w:lvlJc w:val="left"/>
      <w:pPr>
        <w:ind w:left="5040" w:hanging="360"/>
      </w:pPr>
    </w:lvl>
    <w:lvl w:ilvl="7" w:tplc="E21AAD76">
      <w:start w:val="1"/>
      <w:numFmt w:val="bullet"/>
      <w:lvlText w:val="●"/>
      <w:lvlJc w:val="left"/>
      <w:pPr>
        <w:ind w:left="5760" w:hanging="360"/>
      </w:pPr>
    </w:lvl>
    <w:lvl w:ilvl="8" w:tplc="F9B67E82">
      <w:start w:val="1"/>
      <w:numFmt w:val="bullet"/>
      <w:lvlText w:val="●"/>
      <w:lvlJc w:val="left"/>
      <w:pPr>
        <w:ind w:left="6480" w:hanging="360"/>
      </w:pPr>
    </w:lvl>
  </w:abstractNum>
  <w:num w:numId="1" w16cid:durableId="137311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4FE"/>
    <w:rsid w:val="00475534"/>
    <w:rsid w:val="008C34FE"/>
    <w:rsid w:val="00B303B9"/>
    <w:rsid w:val="00F75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AC2BD"/>
  <w15:docId w15:val="{BE9C11FC-1B7F-ED48-B3BC-F833EAC6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F3864"/>
      <w:sz w:val="28"/>
      <w:szCs w:val="28"/>
    </w:rPr>
  </w:style>
  <w:style w:type="paragraph" w:styleId="Heading2">
    <w:name w:val="heading 2"/>
    <w:uiPriority w:val="9"/>
    <w:unhideWhenUsed/>
    <w:qFormat/>
    <w:pPr>
      <w:spacing w:before="280" w:after="160"/>
      <w:outlineLvl w:val="1"/>
    </w:pPr>
    <w:rPr>
      <w:rFonts w:ascii="Arial" w:eastAsia="Arial" w:hAnsi="Arial" w:cs="Arial"/>
      <w:b/>
      <w:bCs/>
      <w:color w:val="2E509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1122</Words>
  <Characters>6430</Characters>
  <Application>Microsoft Office Word</Application>
  <DocSecurity>0</DocSecurity>
  <Lines>103</Lines>
  <Paragraphs>30</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dcterms:created xsi:type="dcterms:W3CDTF">2026-03-18T15:53:00Z</dcterms:created>
  <dcterms:modified xsi:type="dcterms:W3CDTF">2026-03-18T16:01:00Z</dcterms:modified>
</cp:coreProperties>
</file>