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48"/>
          <w:szCs w:val="48"/>
        </w:rPr>
        <w:t xml:space="preserve">Continuation Brief</w:t>
      </w:r>
    </w:p>
    <w:p>
      <w:pPr>
        <w:spacing w:after="200"/>
        <w:jc w:val="center"/>
      </w:pPr>
      <w:r>
        <w:rPr>
          <w:rFonts w:ascii="Arial" w:cs="Arial" w:eastAsia="Arial" w:hAnsi="Arial"/>
          <w:color w:val="2E75B6"/>
          <w:sz w:val="26"/>
          <w:szCs w:val="26"/>
        </w:rPr>
        <w:t xml:space="preserve">CMU METALS Prework Redesign — Session of March 17, 2026</w:t>
      </w:r>
    </w:p>
    <w:p>
      <w:pPr>
        <w:spacing w:after="400"/>
        <w:jc w:val="center"/>
      </w:pPr>
      <w:r>
        <w:rPr>
          <w:rFonts w:ascii="Arial" w:cs="Arial" w:eastAsia="Arial" w:hAnsi="Arial"/>
          <w:i/>
          <w:iCs/>
          <w:color w:val="555555"/>
          <w:sz w:val="22"/>
          <w:szCs w:val="22"/>
        </w:rPr>
        <w:t xml:space="preserve">Paste this document at the start of a new chat to resume work</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Purpose of This Document</w:t>
      </w:r>
    </w:p>
    <w:p>
      <w:pPr>
        <w:spacing w:after="160"/>
      </w:pPr>
      <w:r>
        <w:rPr>
          <w:rFonts w:ascii="Arial" w:cs="Arial" w:eastAsia="Arial" w:hAnsi="Arial"/>
          <w:sz w:val="24"/>
          <w:szCs w:val="24"/>
        </w:rPr>
        <w:t xml:space="preserve">This brief summarizes the full context of a working session on March 17, 2026 in which Rick Antle and Claude (Sonnet 4.6) redesigned all eight modules of the CMU METALS Prework. It is intended to be pasted at the start of a new chat so that work can continue without loss of context.</w:t>
      </w:r>
    </w:p>
    <w:p>
      <w:pPr>
        <w:spacing w:after="160"/>
      </w:pPr>
      <w:r>
        <w:rPr>
          <w:rFonts w:ascii="Arial" w:cs="Arial" w:eastAsia="Arial" w:hAnsi="Arial"/>
          <w:sz w:val="24"/>
          <w:szCs w:val="24"/>
        </w:rPr>
        <w:t xml:space="preserve">The complete module redrafts — prose narratives and slide outlines for all eight modules — are in the companion document: CMU_METALS_Prework_Redesign.docx. That document should also be available in the new session.</w:t>
      </w:r>
    </w:p>
    <w:p>
      <w:pPr>
        <w:pStyle w:val="Heading1"/>
      </w:pPr>
      <w:r>
        <w:rPr>
          <w:rFonts w:ascii="Arial" w:cs="Arial" w:eastAsia="Arial" w:hAnsi="Arial"/>
          <w:b/>
          <w:bCs/>
          <w:sz w:val="32"/>
          <w:szCs w:val="32"/>
        </w:rPr>
        <w:t xml:space="preserve">Project Background</w:t>
      </w:r>
    </w:p>
    <w:p>
      <w:pPr>
        <w:spacing w:after="160"/>
      </w:pPr>
      <w:r>
        <w:rPr>
          <w:rFonts w:ascii="Arial" w:cs="Arial" w:eastAsia="Arial" w:hAnsi="Arial"/>
          <w:sz w:val="24"/>
          <w:szCs w:val="24"/>
        </w:rPr>
        <w:t xml:space="preserve">The CMU METALS Capstone Project is a collaboration between Yale SOM (Rick Antle and Stanley Garstka) and Carnegie Mellon University, with Pierre Liang as CMU-side content expert and liaison. The CMU METALS team (four students, including project manager Sarah) brings learning science expertise. Advisors: John Stamper and Eric Harpstead.</w:t>
      </w:r>
    </w:p>
    <w:p>
      <w:pPr>
        <w:spacing w:after="160"/>
      </w:pPr>
      <w:r>
        <w:rPr>
          <w:rFonts w:ascii="Arial" w:cs="Arial" w:eastAsia="Arial" w:hAnsi="Arial"/>
          <w:sz w:val="24"/>
          <w:szCs w:val="24"/>
        </w:rPr>
        <w:t xml:space="preserve">The project redesigns introductory accounting education by applying learning science principles and modern instructional technology to existing prework materials. The prework currently lives on Canvas and serves a wide audience: MBA, EMBA, undergrad, law students, high school students, nonprofit staff — at Yale and CMU.</w:t>
      </w:r>
    </w:p>
    <w:p>
      <w:pPr>
        <w:spacing w:after="160"/>
      </w:pPr>
      <w:r>
        <w:rPr>
          <w:rFonts w:ascii="Arial" w:cs="Arial" w:eastAsia="Arial" w:hAnsi="Arial"/>
          <w:sz w:val="24"/>
          <w:szCs w:val="24"/>
        </w:rPr>
        <w:t xml:space="preserve">The existing prework has eight modules. All eight have been completely redrafted in the March 17 session. The redesigned prework is currently addressed to the METALS team as a working reference document, in the format: prose narrative + slide outline per module.</w:t>
      </w:r>
    </w:p>
    <w:p>
      <w:pPr>
        <w:pStyle w:val="Heading1"/>
      </w:pPr>
      <w:r>
        <w:rPr>
          <w:rFonts w:ascii="Arial" w:cs="Arial" w:eastAsia="Arial" w:hAnsi="Arial"/>
          <w:b/>
          <w:bCs/>
          <w:sz w:val="32"/>
          <w:szCs w:val="32"/>
        </w:rPr>
        <w:t xml:space="preserve">Unifying Thesis</w:t>
      </w:r>
    </w:p>
    <w:p>
      <w:pPr>
        <w:spacing w:after="160"/>
      </w:pPr>
      <w:r>
        <w:rPr>
          <w:rFonts w:ascii="Arial" w:cs="Arial" w:eastAsia="Arial" w:hAnsi="Arial"/>
          <w:sz w:val="24"/>
          <w:szCs w:val="24"/>
        </w:rPr>
        <w:t xml:space="preserve">Every module has been rewritten around a single thesis:</w:t>
      </w:r>
    </w:p>
    <w:p>
      <w:pPr>
        <w:spacing w:after="200" w:before="200"/>
        <w:ind w:left="720"/>
      </w:pPr>
      <w:r>
        <w:rPr>
          <w:rFonts w:ascii="Arial" w:cs="Arial" w:eastAsia="Arial" w:hAnsi="Arial"/>
          <w:b/>
          <w:bCs/>
          <w:i/>
          <w:iCs/>
          <w:sz w:val="24"/>
          <w:szCs w:val="24"/>
        </w:rPr>
        <w:t xml:space="preserve">Accounting is an information architecture — a system humans invented to record, organize, and communicate economic reality.</w:t>
      </w:r>
    </w:p>
    <w:p>
      <w:pPr>
        <w:spacing w:after="160"/>
      </w:pPr>
      <w:r>
        <w:rPr>
          <w:rFonts w:ascii="Arial" w:cs="Arial" w:eastAsia="Arial" w:hAnsi="Arial"/>
          <w:sz w:val="24"/>
          <w:szCs w:val="24"/>
        </w:rPr>
        <w:t xml:space="preserve">This framing is established in Module 1 and echoed at the close of every module. It is the lens through which all eight modules should be read and evaluated.</w:t>
      </w:r>
    </w:p>
    <w:p>
      <w:pPr>
        <w:pStyle w:val="Heading1"/>
      </w:pPr>
      <w:r>
        <w:rPr>
          <w:rFonts w:ascii="Arial" w:cs="Arial" w:eastAsia="Arial" w:hAnsi="Arial"/>
          <w:b/>
          <w:bCs/>
          <w:sz w:val="32"/>
          <w:szCs w:val="32"/>
        </w:rPr>
        <w:t xml:space="preserve">Language Conventions — Non-Negotiable</w:t>
      </w:r>
    </w:p>
    <w:p>
      <w:pPr>
        <w:spacing w:after="160"/>
      </w:pPr>
      <w:r>
        <w:rPr>
          <w:rFonts w:ascii="Arial" w:cs="Arial" w:eastAsia="Arial" w:hAnsi="Arial"/>
          <w:sz w:val="24"/>
          <w:szCs w:val="24"/>
        </w:rPr>
        <w:t xml:space="preserve">These are active constraints on all future drafting:</w:t>
      </w:r>
    </w:p>
    <w:p>
      <w:pPr>
        <w:pStyle w:val="ListParagraph"/>
        <w:numPr>
          <w:ilvl w:val="0"/>
          <w:numId w:val="2"/>
        </w:numPr>
      </w:pPr>
      <w:r>
        <w:rPr>
          <w:rFonts w:ascii="Arial" w:cs="Arial" w:eastAsia="Arial" w:hAnsi="Arial"/>
          <w:sz w:val="24"/>
          <w:szCs w:val="24"/>
        </w:rPr>
        <w:t xml:space="preserve">NEVER use the word "measurement" or "measure" when discussing accounting processes. Preferred substitutes: express, quantify, estimate, assess, allocate.</w:t>
      </w:r>
    </w:p>
    <w:p>
      <w:pPr>
        <w:pStyle w:val="ListParagraph"/>
        <w:numPr>
          <w:ilvl w:val="0"/>
          <w:numId w:val="2"/>
        </w:numPr>
      </w:pPr>
      <w:r>
        <w:rPr>
          <w:rFonts w:ascii="Arial" w:cs="Arial" w:eastAsia="Arial" w:hAnsi="Arial"/>
          <w:sz w:val="24"/>
          <w:szCs w:val="24"/>
        </w:rPr>
        <w:t xml:space="preserve">Use "worth" in preference to "value" — softer, more honest, carrying incomplete markets implications.</w:t>
      </w:r>
    </w:p>
    <w:p>
      <w:pPr>
        <w:pStyle w:val="ListParagraph"/>
        <w:numPr>
          <w:ilvl w:val="0"/>
          <w:numId w:val="2"/>
        </w:numPr>
      </w:pPr>
      <w:r>
        <w:rPr>
          <w:rFonts w:ascii="Arial" w:cs="Arial" w:eastAsia="Arial" w:hAnsi="Arial"/>
          <w:sz w:val="24"/>
          <w:szCs w:val="24"/>
        </w:rPr>
        <w:t xml:space="preserve">Money "expresses" worth — it does not "measure" it. Money is a convention, a reference point, not a natural law.</w:t>
      </w:r>
    </w:p>
    <w:p>
      <w:pPr>
        <w:pStyle w:val="ListParagraph"/>
        <w:numPr>
          <w:ilvl w:val="0"/>
          <w:numId w:val="2"/>
        </w:numPr>
      </w:pPr>
      <w:r>
        <w:rPr>
          <w:rFonts w:ascii="Arial" w:cs="Arial" w:eastAsia="Arial" w:hAnsi="Arial"/>
          <w:sz w:val="24"/>
          <w:szCs w:val="24"/>
        </w:rPr>
        <w:t xml:space="preserve">The word 'quantification' (not 'measurement') describes what accounting does: assigns numbers to things.</w:t>
      </w:r>
    </w:p>
    <w:p>
      <w:pPr>
        <w:pStyle w:val="ListParagraph"/>
        <w:numPr>
          <w:ilvl w:val="0"/>
          <w:numId w:val="2"/>
        </w:numPr>
      </w:pPr>
      <w:r>
        <w:rPr>
          <w:rFonts w:ascii="Arial" w:cs="Arial" w:eastAsia="Arial" w:hAnsi="Arial"/>
          <w:sz w:val="24"/>
          <w:szCs w:val="24"/>
        </w:rPr>
        <w:t xml:space="preserve">The four financial statements are 'four windows onto the same underlying structure' — not four independent documents.</w:t>
      </w:r>
    </w:p>
    <w:p>
      <w:pPr>
        <w:pStyle w:val="ListParagraph"/>
        <w:numPr>
          <w:ilvl w:val="0"/>
          <w:numId w:val="2"/>
        </w:numPr>
      </w:pPr>
      <w:r>
        <w:rPr>
          <w:rFonts w:ascii="Arial" w:cs="Arial" w:eastAsia="Arial" w:hAnsi="Arial"/>
          <w:sz w:val="24"/>
          <w:szCs w:val="24"/>
        </w:rPr>
        <w:t xml:space="preserve">Historical cost is the strongest epistemic anchor for worth: arm's-length transactions as direct market evidence.</w:t>
      </w:r>
    </w:p>
    <w:p>
      <w:pPr>
        <w:pStyle w:val="Heading1"/>
      </w:pPr>
      <w:r>
        <w:rPr>
          <w:rFonts w:ascii="Arial" w:cs="Arial" w:eastAsia="Arial" w:hAnsi="Arial"/>
          <w:b/>
          <w:bCs/>
          <w:sz w:val="32"/>
          <w:szCs w:val="32"/>
        </w:rPr>
        <w:t xml:space="preserve">Key Decisions Made in This Session</w:t>
      </w:r>
    </w:p>
    <w:p>
      <w:pPr>
        <w:pStyle w:val="Heading2"/>
      </w:pPr>
      <w:r>
        <w:rPr>
          <w:rFonts w:ascii="Arial" w:cs="Arial" w:eastAsia="Arial" w:hAnsi="Arial"/>
          <w:b/>
          <w:bCs/>
          <w:sz w:val="28"/>
          <w:szCs w:val="28"/>
        </w:rPr>
        <w:t xml:space="preserve">Module Titles (Final)</w:t>
      </w:r>
    </w:p>
    <w:p>
      <w:pPr>
        <w:pStyle w:val="ListParagraph"/>
        <w:numPr>
          <w:ilvl w:val="0"/>
          <w:numId w:val="2"/>
        </w:numPr>
      </w:pPr>
      <w:r>
        <w:rPr>
          <w:rFonts w:ascii="Arial" w:cs="Arial" w:eastAsia="Arial" w:hAnsi="Arial"/>
          <w:sz w:val="24"/>
          <w:szCs w:val="24"/>
        </w:rPr>
        <w:t xml:space="preserve">Module 1: Welcome and Orientation</w:t>
      </w:r>
    </w:p>
    <w:p>
      <w:pPr>
        <w:pStyle w:val="ListParagraph"/>
        <w:numPr>
          <w:ilvl w:val="0"/>
          <w:numId w:val="2"/>
        </w:numPr>
      </w:pPr>
      <w:r>
        <w:rPr>
          <w:rFonts w:ascii="Arial" w:cs="Arial" w:eastAsia="Arial" w:hAnsi="Arial"/>
          <w:sz w:val="24"/>
          <w:szCs w:val="24"/>
        </w:rPr>
        <w:t xml:space="preserve">Module 2: Why Accounting Exists</w:t>
      </w:r>
    </w:p>
    <w:p>
      <w:pPr>
        <w:pStyle w:val="ListParagraph"/>
        <w:numPr>
          <w:ilvl w:val="0"/>
          <w:numId w:val="2"/>
        </w:numPr>
      </w:pPr>
      <w:r>
        <w:rPr>
          <w:rFonts w:ascii="Arial" w:cs="Arial" w:eastAsia="Arial" w:hAnsi="Arial"/>
          <w:sz w:val="24"/>
          <w:szCs w:val="24"/>
        </w:rPr>
        <w:t xml:space="preserve">Module 3: Worth, Quantification, and the Limits of the Architecture</w:t>
      </w:r>
    </w:p>
    <w:p>
      <w:pPr>
        <w:pStyle w:val="ListParagraph"/>
        <w:numPr>
          <w:ilvl w:val="0"/>
          <w:numId w:val="2"/>
        </w:numPr>
      </w:pPr>
      <w:r>
        <w:rPr>
          <w:rFonts w:ascii="Arial" w:cs="Arial" w:eastAsia="Arial" w:hAnsi="Arial"/>
          <w:sz w:val="24"/>
          <w:szCs w:val="24"/>
        </w:rPr>
        <w:t xml:space="preserve">Module 4: The Architecture Itself — Imposing the Accounting Identity</w:t>
      </w:r>
    </w:p>
    <w:p>
      <w:pPr>
        <w:pStyle w:val="ListParagraph"/>
        <w:numPr>
          <w:ilvl w:val="0"/>
          <w:numId w:val="2"/>
        </w:numPr>
      </w:pPr>
      <w:r>
        <w:rPr>
          <w:rFonts w:ascii="Arial" w:cs="Arial" w:eastAsia="Arial" w:hAnsi="Arial"/>
          <w:sz w:val="24"/>
          <w:szCs w:val="24"/>
        </w:rPr>
        <w:t xml:space="preserve">Module 5: The Snapshot — CVS Balance Sheets</w:t>
      </w:r>
    </w:p>
    <w:p>
      <w:pPr>
        <w:pStyle w:val="ListParagraph"/>
        <w:numPr>
          <w:ilvl w:val="0"/>
          <w:numId w:val="2"/>
        </w:numPr>
      </w:pPr>
      <w:r>
        <w:rPr>
          <w:rFonts w:ascii="Arial" w:cs="Arial" w:eastAsia="Arial" w:hAnsi="Arial"/>
          <w:sz w:val="24"/>
          <w:szCs w:val="24"/>
        </w:rPr>
        <w:t xml:space="preserve">Module 6: Operations — The CVS Income Statement</w:t>
      </w:r>
    </w:p>
    <w:p>
      <w:pPr>
        <w:pStyle w:val="ListParagraph"/>
        <w:numPr>
          <w:ilvl w:val="0"/>
          <w:numId w:val="2"/>
        </w:numPr>
      </w:pPr>
      <w:r>
        <w:rPr>
          <w:rFonts w:ascii="Arial" w:cs="Arial" w:eastAsia="Arial" w:hAnsi="Arial"/>
          <w:sz w:val="24"/>
          <w:szCs w:val="24"/>
        </w:rPr>
        <w:t xml:space="preserve">Module 7: Cash — The CVS Statement of Cash Flows</w:t>
      </w:r>
    </w:p>
    <w:p>
      <w:pPr>
        <w:pStyle w:val="ListParagraph"/>
        <w:numPr>
          <w:ilvl w:val="0"/>
          <w:numId w:val="2"/>
        </w:numPr>
      </w:pPr>
      <w:r>
        <w:rPr>
          <w:rFonts w:ascii="Arial" w:cs="Arial" w:eastAsia="Arial" w:hAnsi="Arial"/>
          <w:sz w:val="24"/>
          <w:szCs w:val="24"/>
        </w:rPr>
        <w:t xml:space="preserve">Module 8: The Analyst's Toolkit</w:t>
      </w:r>
    </w:p>
    <w:p>
      <w:pPr>
        <w:pStyle w:val="Heading2"/>
      </w:pPr>
      <w:r>
        <w:rPr>
          <w:rFonts w:ascii="Arial" w:cs="Arial" w:eastAsia="Arial" w:hAnsi="Arial"/>
          <w:b/>
          <w:bCs/>
          <w:sz w:val="28"/>
          <w:szCs w:val="28"/>
        </w:rPr>
        <w:t xml:space="preserve">Other Key Decisions</w:t>
      </w:r>
    </w:p>
    <w:p>
      <w:pPr>
        <w:pStyle w:val="ListParagraph"/>
        <w:numPr>
          <w:ilvl w:val="0"/>
          <w:numId w:val="2"/>
        </w:numPr>
      </w:pPr>
      <w:r>
        <w:rPr>
          <w:rFonts w:ascii="Arial" w:cs="Arial" w:eastAsia="Arial" w:hAnsi="Arial"/>
          <w:sz w:val="24"/>
          <w:szCs w:val="24"/>
        </w:rPr>
        <w:t xml:space="preserve">Geert's greeting removed from all student-facing materials entirely.</w:t>
      </w:r>
    </w:p>
    <w:p>
      <w:pPr>
        <w:pStyle w:val="ListParagraph"/>
        <w:numPr>
          <w:ilvl w:val="0"/>
          <w:numId w:val="2"/>
        </w:numPr>
      </w:pPr>
      <w:r>
        <w:rPr>
          <w:rFonts w:ascii="Arial" w:cs="Arial" w:eastAsia="Arial" w:hAnsi="Arial"/>
          <w:sz w:val="24"/>
          <w:szCs w:val="24"/>
        </w:rPr>
        <w:t xml:space="preserve">Rick's intro video to be reshot — short (3-5 min), universal, no SOM-specific references.</w:t>
      </w:r>
    </w:p>
    <w:p>
      <w:pPr>
        <w:pStyle w:val="ListParagraph"/>
        <w:numPr>
          <w:ilvl w:val="0"/>
          <w:numId w:val="2"/>
        </w:numPr>
      </w:pPr>
      <w:r>
        <w:rPr>
          <w:rFonts w:ascii="Arial" w:cs="Arial" w:eastAsia="Arial" w:hAnsi="Arial"/>
          <w:sz w:val="24"/>
          <w:szCs w:val="24"/>
        </w:rPr>
        <w:t xml:space="preserve">Statement of changes in shareholders' equity excluded from CVS tour modules (5-7); to be introduced in course proper.</w:t>
      </w:r>
    </w:p>
    <w:p>
      <w:pPr>
        <w:pStyle w:val="ListParagraph"/>
        <w:numPr>
          <w:ilvl w:val="0"/>
          <w:numId w:val="2"/>
        </w:numPr>
      </w:pPr>
      <w:r>
        <w:rPr>
          <w:rFonts w:ascii="Arial" w:cs="Arial" w:eastAsia="Arial" w:hAnsi="Arial"/>
          <w:sz w:val="24"/>
          <w:szCs w:val="24"/>
        </w:rPr>
        <w:t xml:space="preserve">Module 8 placed deliberately after CVS tours so students see outputs before learning the input mechanism.</w:t>
      </w:r>
    </w:p>
    <w:p>
      <w:pPr>
        <w:pStyle w:val="ListParagraph"/>
        <w:numPr>
          <w:ilvl w:val="0"/>
          <w:numId w:val="2"/>
        </w:numPr>
      </w:pPr>
      <w:r>
        <w:rPr>
          <w:rFonts w:ascii="Arial" w:cs="Arial" w:eastAsia="Arial" w:hAnsi="Arial"/>
          <w:sz w:val="24"/>
          <w:szCs w:val="24"/>
        </w:rPr>
        <w:t xml:space="preserve">Background quiz redesigned as a diagnostic (not a test, no grade) with explicit skip instructions and adaptive routing.</w:t>
      </w:r>
    </w:p>
    <w:p>
      <w:pPr>
        <w:pStyle w:val="Heading1"/>
      </w:pPr>
      <w:r>
        <w:rPr>
          <w:rFonts w:ascii="Arial" w:cs="Arial" w:eastAsia="Arial" w:hAnsi="Arial"/>
          <w:b/>
          <w:bCs/>
          <w:sz w:val="32"/>
          <w:szCs w:val="32"/>
        </w:rPr>
        <w:t xml:space="preserve">Most Important Intellectual Moves</w:t>
      </w:r>
    </w:p>
    <w:p>
      <w:pPr>
        <w:pStyle w:val="Heading2"/>
      </w:pPr>
      <w:r>
        <w:rPr>
          <w:rFonts w:ascii="Arial" w:cs="Arial" w:eastAsia="Arial" w:hAnsi="Arial"/>
          <w:b/>
          <w:bCs/>
          <w:sz w:val="28"/>
          <w:szCs w:val="28"/>
        </w:rPr>
        <w:t xml:space="preserve">The Incomplete Markets Principle (Module 3)</w:t>
      </w:r>
    </w:p>
    <w:p>
      <w:pPr>
        <w:spacing w:after="160"/>
      </w:pPr>
      <w:r>
        <w:rPr>
          <w:rFonts w:ascii="Arial" w:cs="Arial" w:eastAsia="Arial" w:hAnsi="Arial"/>
          <w:sz w:val="24"/>
          <w:szCs w:val="24"/>
        </w:rPr>
        <w:t xml:space="preserve">Accounting captures what trades in markets. It is silent about everything that doesn't. This principle is introduced in Module 3 and echoes throughout the prework as the honest acknowledgment of the architecture's boundary.</w:t>
      </w:r>
    </w:p>
    <w:p>
      <w:pPr>
        <w:pStyle w:val="Heading2"/>
      </w:pPr>
      <w:r>
        <w:rPr>
          <w:rFonts w:ascii="Arial" w:cs="Arial" w:eastAsia="Arial" w:hAnsi="Arial"/>
          <w:b/>
          <w:bCs/>
          <w:sz w:val="28"/>
          <w:szCs w:val="28"/>
        </w:rPr>
        <w:t xml:space="preserve">Historical Cost as Anchor — Pending Revision</w:t>
      </w:r>
    </w:p>
    <w:p>
      <w:pPr>
        <w:spacing w:after="160"/>
      </w:pPr>
      <w:r>
        <w:rPr>
          <w:rFonts w:ascii="Arial" w:cs="Arial" w:eastAsia="Arial" w:hAnsi="Arial"/>
          <w:sz w:val="24"/>
          <w:szCs w:val="24"/>
        </w:rPr>
        <w:t xml:space="preserve">IMPORTANT: The Module 3 draft as written incorrectly frames historical cost as 'verifiable but potentially stale.' This is wrong. The correct framing:</w:t>
      </w:r>
    </w:p>
    <w:p>
      <w:pPr>
        <w:pStyle w:val="ListParagraph"/>
        <w:numPr>
          <w:ilvl w:val="0"/>
          <w:numId w:val="2"/>
        </w:numPr>
      </w:pPr>
      <w:r>
        <w:rPr>
          <w:rFonts w:ascii="Arial" w:cs="Arial" w:eastAsia="Arial" w:hAnsi="Arial"/>
          <w:sz w:val="24"/>
          <w:szCs w:val="24"/>
        </w:rPr>
        <w:t xml:space="preserve">An arm's-length transaction is the most direct evidence of market worth we have. At the moment of transaction, two independent parties looked at the same thing from opposite sides and agreed on a price. That agreement IS a market. That price IS worth expressed — directly revealed, not estimated.</w:t>
      </w:r>
    </w:p>
    <w:p>
      <w:pPr>
        <w:pStyle w:val="ListParagraph"/>
        <w:numPr>
          <w:ilvl w:val="0"/>
          <w:numId w:val="2"/>
        </w:numPr>
      </w:pPr>
      <w:r>
        <w:rPr>
          <w:rFonts w:ascii="Arial" w:cs="Arial" w:eastAsia="Arial" w:hAnsi="Arial"/>
          <w:sz w:val="24"/>
          <w:szCs w:val="24"/>
        </w:rPr>
        <w:t xml:space="preserve">Historical cost is where the architecture starts because transactions have the strongest possible epistemic authority about worth.</w:t>
      </w:r>
    </w:p>
    <w:p>
      <w:pPr>
        <w:pStyle w:val="ListParagraph"/>
        <w:numPr>
          <w:ilvl w:val="0"/>
          <w:numId w:val="2"/>
        </w:numPr>
      </w:pPr>
      <w:r>
        <w:rPr>
          <w:rFonts w:ascii="Arial" w:cs="Arial" w:eastAsia="Arial" w:hAnsi="Arial"/>
          <w:sz w:val="24"/>
          <w:szCs w:val="24"/>
        </w:rPr>
        <w:t xml:space="preserve">What happens after initial recording is a separate story: impairment write-downs, fair value adjustments, mark-to-market for financial instruments, IFRS revaluations — not corrections to historical cost, but the system updating its quantification as new information arrives.</w:t>
      </w:r>
    </w:p>
    <w:p>
      <w:pPr>
        <w:pStyle w:val="ListParagraph"/>
        <w:numPr>
          <w:ilvl w:val="0"/>
          <w:numId w:val="2"/>
        </w:numPr>
      </w:pPr>
      <w:r>
        <w:rPr>
          <w:rFonts w:ascii="Arial" w:cs="Arial" w:eastAsia="Arial" w:hAnsi="Arial"/>
          <w:sz w:val="24"/>
          <w:szCs w:val="24"/>
        </w:rPr>
        <w:t xml:space="preserve">The unified principle connecting historical cost to the incomplete markets limit: worth the architecture can see = worth that transacted; worth it cannot see = worth that never found a market.</w:t>
      </w:r>
    </w:p>
    <w:p>
      <w:pPr>
        <w:spacing w:after="160"/>
      </w:pPr>
      <w:r>
        <w:rPr>
          <w:rFonts w:ascii="Arial" w:cs="Arial" w:eastAsia="Arial" w:hAnsi="Arial"/>
          <w:sz w:val="24"/>
          <w:szCs w:val="24"/>
        </w:rPr>
        <w:t xml:space="preserve">Module 3 must be revised to incorporate this three-part structure for the quantification section: (1) Transactions as the anchor, (2) Adjustments away from cost, (3) Estimation and allocation.</w:t>
      </w:r>
    </w:p>
    <w:p>
      <w:pPr>
        <w:pStyle w:val="Heading2"/>
      </w:pPr>
      <w:r>
        <w:rPr>
          <w:rFonts w:ascii="Arial" w:cs="Arial" w:eastAsia="Arial" w:hAnsi="Arial"/>
          <w:b/>
          <w:bCs/>
          <w:sz w:val="28"/>
          <w:szCs w:val="28"/>
        </w:rPr>
        <w:t xml:space="preserve">The Four-Bridge Diagram (Module 4)</w:t>
      </w:r>
    </w:p>
    <w:p>
      <w:pPr>
        <w:spacing w:after="160"/>
      </w:pPr>
      <w:r>
        <w:rPr>
          <w:rFonts w:ascii="Arial" w:cs="Arial" w:eastAsia="Arial" w:hAnsi="Arial"/>
          <w:sz w:val="24"/>
          <w:szCs w:val="24"/>
        </w:rPr>
        <w:t xml:space="preserve">The most important structural diagram of the prework: the accounting identity at T1 and T2, connected by four bridges — one per financial statement. This diagram is first introduced in Module 4 and returns in Module 7 populated with real CVS data. It should be designed with enough care to serve as the signature visual of the prework.</w:t>
      </w:r>
    </w:p>
    <w:p>
      <w:pPr>
        <w:pStyle w:val="Heading2"/>
      </w:pPr>
      <w:r>
        <w:rPr>
          <w:rFonts w:ascii="Arial" w:cs="Arial" w:eastAsia="Arial" w:hAnsi="Arial"/>
          <w:b/>
          <w:bCs/>
          <w:sz w:val="28"/>
          <w:szCs w:val="28"/>
        </w:rPr>
        <w:t xml:space="preserve">The Load-Bearing Wall (Module 2)</w:t>
      </w:r>
    </w:p>
    <w:p>
      <w:pPr>
        <w:spacing w:after="160"/>
      </w:pPr>
      <w:r>
        <w:rPr>
          <w:rFonts w:ascii="Arial" w:cs="Arial" w:eastAsia="Arial" w:hAnsi="Arial"/>
          <w:sz w:val="24"/>
          <w:szCs w:val="24"/>
        </w:rPr>
        <w:t xml:space="preserve">The accounting identity as the load-bearing wall of every accounting system. Every building (organization type) looks different from the outside; cut away and the structural skeleton (Assets = Liabilities + Equity) is identical. Different facades, same skeleton.</w:t>
      </w:r>
    </w:p>
    <w:p>
      <w:pPr>
        <w:pStyle w:val="Heading1"/>
      </w:pPr>
      <w:r>
        <w:rPr>
          <w:rFonts w:ascii="Arial" w:cs="Arial" w:eastAsia="Arial" w:hAnsi="Arial"/>
          <w:b/>
          <w:bCs/>
          <w:sz w:val="32"/>
          <w:szCs w:val="32"/>
        </w:rPr>
        <w:t xml:space="preserve">Visual Motifs to Carry Forward</w:t>
      </w:r>
    </w:p>
    <w:p>
      <w:pPr>
        <w:pStyle w:val="ListParagraph"/>
        <w:numPr>
          <w:ilvl w:val="0"/>
          <w:numId w:val="2"/>
        </w:numPr>
      </w:pPr>
      <w:r>
        <w:rPr>
          <w:rFonts w:ascii="Arial" w:cs="Arial" w:eastAsia="Arial" w:hAnsi="Arial"/>
          <w:sz w:val="24"/>
          <w:szCs w:val="24"/>
        </w:rPr>
        <w:t xml:space="preserve">Different doors, same interior (Module 1) — a person standing before doors labeled Corporation, Nonprofit, Government, Small Business; the interior is identical. Reused in Module 2 annotated with specifics.</w:t>
      </w:r>
    </w:p>
    <w:p>
      <w:pPr>
        <w:pStyle w:val="ListParagraph"/>
        <w:numPr>
          <w:ilvl w:val="0"/>
          <w:numId w:val="2"/>
        </w:numPr>
      </w:pPr>
      <w:r>
        <w:rPr>
          <w:rFonts w:ascii="Arial" w:cs="Arial" w:eastAsia="Arial" w:hAnsi="Arial"/>
          <w:sz w:val="24"/>
          <w:szCs w:val="24"/>
        </w:rPr>
        <w:t xml:space="preserve">Load-bearing wall / building cutaway (Module 2) — building facades cut away to reveal the accounting identity skeleton.</w:t>
      </w:r>
    </w:p>
    <w:p>
      <w:pPr>
        <w:pStyle w:val="ListParagraph"/>
        <w:numPr>
          <w:ilvl w:val="0"/>
          <w:numId w:val="2"/>
        </w:numPr>
      </w:pPr>
      <w:r>
        <w:rPr>
          <w:rFonts w:ascii="Arial" w:cs="Arial" w:eastAsia="Arial" w:hAnsi="Arial"/>
          <w:sz w:val="24"/>
          <w:szCs w:val="24"/>
        </w:rPr>
        <w:t xml:space="preserve">Incomplete markets circle (Module 3) — a circle showing what accounting captures inside; a large area outside labeled 'silent.' Recommended as a recurring image.</w:t>
      </w:r>
    </w:p>
    <w:p>
      <w:pPr>
        <w:pStyle w:val="ListParagraph"/>
        <w:numPr>
          <w:ilvl w:val="0"/>
          <w:numId w:val="2"/>
        </w:numPr>
      </w:pPr>
      <w:r>
        <w:rPr>
          <w:rFonts w:ascii="Arial" w:cs="Arial" w:eastAsia="Arial" w:hAnsi="Arial"/>
          <w:sz w:val="24"/>
          <w:szCs w:val="24"/>
        </w:rPr>
        <w:t xml:space="preserve">The accounting identity at T1 and T2 with four bridges (Module 4) — the engine diagram. Returns in Module 7 with CVS data.</w:t>
      </w:r>
    </w:p>
    <w:p>
      <w:pPr>
        <w:pStyle w:val="ListParagraph"/>
        <w:numPr>
          <w:ilvl w:val="0"/>
          <w:numId w:val="2"/>
        </w:numPr>
      </w:pPr>
      <w:r>
        <w:rPr>
          <w:rFonts w:ascii="Arial" w:cs="Arial" w:eastAsia="Arial" w:hAnsi="Arial"/>
          <w:sz w:val="24"/>
          <w:szCs w:val="24"/>
        </w:rPr>
        <w:t xml:space="preserve">Sankey diagram for cash flows (Module 7) — gross flows vs. net change. Also recommended in Module 4 slide 9.</w:t>
      </w:r>
    </w:p>
    <w:p>
      <w:pPr>
        <w:pStyle w:val="ListParagraph"/>
        <w:numPr>
          <w:ilvl w:val="0"/>
          <w:numId w:val="2"/>
        </w:numPr>
      </w:pPr>
      <w:r>
        <w:rPr>
          <w:rFonts w:ascii="Arial" w:cs="Arial" w:eastAsia="Arial" w:hAnsi="Arial"/>
          <w:sz w:val="24"/>
          <w:szCs w:val="24"/>
        </w:rPr>
        <w:t xml:space="preserve">Interactive T-account (Module 8) — highest-priority interactive element for METALS team.</w:t>
      </w:r>
    </w:p>
    <w:p>
      <w:pPr>
        <w:pStyle w:val="Heading1"/>
      </w:pPr>
      <w:r>
        <w:rPr>
          <w:rFonts w:ascii="Arial" w:cs="Arial" w:eastAsia="Arial" w:hAnsi="Arial"/>
          <w:b/>
          <w:bCs/>
          <w:sz w:val="32"/>
          <w:szCs w:val="32"/>
        </w:rPr>
        <w:t xml:space="preserve">Pending Items — What Still Needs to Be Done</w:t>
      </w:r>
    </w:p>
    <w:p>
      <w:pPr>
        <w:pStyle w:val="Heading2"/>
      </w:pPr>
      <w:r>
        <w:rPr>
          <w:rFonts w:ascii="Arial" w:cs="Arial" w:eastAsia="Arial" w:hAnsi="Arial"/>
          <w:b/>
          <w:bCs/>
          <w:sz w:val="28"/>
          <w:szCs w:val="28"/>
        </w:rPr>
        <w:t xml:space="preserve">Immediate</w:t>
      </w:r>
    </w:p>
    <w:p>
      <w:pPr>
        <w:pStyle w:val="ListParagraph"/>
        <w:numPr>
          <w:ilvl w:val="0"/>
          <w:numId w:val="2"/>
        </w:numPr>
      </w:pPr>
      <w:r>
        <w:rPr>
          <w:rFonts w:ascii="Arial" w:cs="Arial" w:eastAsia="Arial" w:hAnsi="Arial"/>
          <w:sz w:val="24"/>
          <w:szCs w:val="24"/>
        </w:rPr>
        <w:t xml:space="preserve">Revise Module 3 quantification section to incorporate the historical cost reframing and unified principle (see above).</w:t>
      </w:r>
    </w:p>
    <w:p>
      <w:pPr>
        <w:pStyle w:val="Heading2"/>
      </w:pPr>
      <w:r>
        <w:rPr>
          <w:rFonts w:ascii="Arial" w:cs="Arial" w:eastAsia="Arial" w:hAnsi="Arial"/>
          <w:b/>
          <w:bCs/>
          <w:sz w:val="28"/>
          <w:szCs w:val="28"/>
        </w:rPr>
        <w:t xml:space="preserve">Full Consistency Review</w:t>
      </w:r>
    </w:p>
    <w:p>
      <w:pPr>
        <w:spacing w:after="160"/>
      </w:pPr>
      <w:r>
        <w:rPr>
          <w:rFonts w:ascii="Arial" w:cs="Arial" w:eastAsia="Arial" w:hAnsi="Arial"/>
          <w:sz w:val="24"/>
          <w:szCs w:val="24"/>
        </w:rPr>
        <w:t xml:space="preserve">After Module 3 revision, conduct a full pass across all modules checking:</w:t>
      </w:r>
    </w:p>
    <w:p>
      <w:pPr>
        <w:pStyle w:val="ListParagraph"/>
        <w:numPr>
          <w:ilvl w:val="0"/>
          <w:numId w:val="2"/>
        </w:numPr>
      </w:pPr>
      <w:r>
        <w:rPr>
          <w:rFonts w:ascii="Arial" w:cs="Arial" w:eastAsia="Arial" w:hAnsi="Arial"/>
          <w:sz w:val="24"/>
          <w:szCs w:val="24"/>
        </w:rPr>
        <w:t xml:space="preserve">Language: no 'measurement' anywhere; preferred substitutes throughout</w:t>
      </w:r>
    </w:p>
    <w:p>
      <w:pPr>
        <w:pStyle w:val="ListParagraph"/>
        <w:numPr>
          <w:ilvl w:val="0"/>
          <w:numId w:val="2"/>
        </w:numPr>
      </w:pPr>
      <w:r>
        <w:rPr>
          <w:rFonts w:ascii="Arial" w:cs="Arial" w:eastAsia="Arial" w:hAnsi="Arial"/>
          <w:sz w:val="24"/>
          <w:szCs w:val="24"/>
        </w:rPr>
        <w:t xml:space="preserve">Visual callbacks: signature visuals consistently referenced across modules</w:t>
      </w:r>
    </w:p>
    <w:p>
      <w:pPr>
        <w:pStyle w:val="ListParagraph"/>
        <w:numPr>
          <w:ilvl w:val="0"/>
          <w:numId w:val="2"/>
        </w:numPr>
      </w:pPr>
      <w:r>
        <w:rPr>
          <w:rFonts w:ascii="Arial" w:cs="Arial" w:eastAsia="Arial" w:hAnsi="Arial"/>
          <w:sz w:val="24"/>
          <w:szCs w:val="24"/>
        </w:rPr>
        <w:t xml:space="preserve">Closing transitions: each module's closing question leads naturally into the next</w:t>
      </w:r>
    </w:p>
    <w:p>
      <w:pPr>
        <w:pStyle w:val="ListParagraph"/>
        <w:numPr>
          <w:ilvl w:val="0"/>
          <w:numId w:val="2"/>
        </w:numPr>
      </w:pPr>
      <w:r>
        <w:rPr>
          <w:rFonts w:ascii="Arial" w:cs="Arial" w:eastAsia="Arial" w:hAnsi="Arial"/>
          <w:sz w:val="24"/>
          <w:szCs w:val="24"/>
        </w:rPr>
        <w:t xml:space="preserve">Information architecture echo: the thesis is explicitly echoed at the close of every module</w:t>
      </w:r>
    </w:p>
    <w:p>
      <w:pPr>
        <w:pStyle w:val="ListParagraph"/>
        <w:numPr>
          <w:ilvl w:val="0"/>
          <w:numId w:val="2"/>
        </w:numPr>
      </w:pPr>
      <w:r>
        <w:rPr>
          <w:rFonts w:ascii="Arial" w:cs="Arial" w:eastAsia="Arial" w:hAnsi="Arial"/>
          <w:sz w:val="24"/>
          <w:szCs w:val="24"/>
        </w:rPr>
        <w:t xml:space="preserve">Equity caution: the reminder that equity is almost never simply 'what is left for owners' appears in Modules 3, 4, and 5</w:t>
      </w:r>
    </w:p>
    <w:p>
      <w:pPr>
        <w:pStyle w:val="Heading2"/>
      </w:pPr>
      <w:r>
        <w:rPr>
          <w:rFonts w:ascii="Arial" w:cs="Arial" w:eastAsia="Arial" w:hAnsi="Arial"/>
          <w:b/>
          <w:bCs/>
          <w:sz w:val="28"/>
          <w:szCs w:val="28"/>
        </w:rPr>
        <w:t xml:space="preserve">Open Questions</w:t>
      </w:r>
    </w:p>
    <w:p>
      <w:pPr>
        <w:pStyle w:val="ListParagraph"/>
        <w:numPr>
          <w:ilvl w:val="0"/>
          <w:numId w:val="2"/>
        </w:numPr>
      </w:pPr>
      <w:r>
        <w:rPr>
          <w:rFonts w:ascii="Arial" w:cs="Arial" w:eastAsia="Arial" w:hAnsi="Arial"/>
          <w:sz w:val="24"/>
          <w:szCs w:val="24"/>
        </w:rPr>
        <w:t xml:space="preserve">Should Modules 5, 6, 7 be consolidated into one CVS module with three sections? Currently kept separate.</w:t>
      </w:r>
    </w:p>
    <w:p>
      <w:pPr>
        <w:pStyle w:val="ListParagraph"/>
        <w:numPr>
          <w:ilvl w:val="0"/>
          <w:numId w:val="2"/>
        </w:numPr>
      </w:pPr>
      <w:r>
        <w:rPr>
          <w:rFonts w:ascii="Arial" w:cs="Arial" w:eastAsia="Arial" w:hAnsi="Arial"/>
          <w:sz w:val="24"/>
          <w:szCs w:val="24"/>
        </w:rPr>
        <w:t xml:space="preserve">Ponzi schemes as an example in Module 3 — placement TBD.</w:t>
      </w:r>
    </w:p>
    <w:p>
      <w:pPr>
        <w:pStyle w:val="ListParagraph"/>
        <w:numPr>
          <w:ilvl w:val="0"/>
          <w:numId w:val="2"/>
        </w:numPr>
      </w:pPr>
      <w:r>
        <w:rPr>
          <w:rFonts w:ascii="Arial" w:cs="Arial" w:eastAsia="Arial" w:hAnsi="Arial"/>
          <w:sz w:val="24"/>
          <w:szCs w:val="24"/>
        </w:rPr>
        <w:t xml:space="preserve">Final module count: currently 8. Possible alternative five-module structure was discussed but not adopted.</w:t>
      </w:r>
    </w:p>
    <w:p>
      <w:pPr>
        <w:pStyle w:val="Heading1"/>
      </w:pPr>
      <w:r>
        <w:rPr>
          <w:rFonts w:ascii="Arial" w:cs="Arial" w:eastAsia="Arial" w:hAnsi="Arial"/>
          <w:b/>
          <w:bCs/>
          <w:sz w:val="32"/>
          <w:szCs w:val="32"/>
        </w:rPr>
        <w:t xml:space="preserve">Open Brain Status</w:t>
      </w:r>
    </w:p>
    <w:p>
      <w:pPr>
        <w:spacing w:after="160"/>
      </w:pPr>
      <w:r>
        <w:rPr>
          <w:rFonts w:ascii="Arial" w:cs="Arial" w:eastAsia="Arial" w:hAnsi="Arial"/>
          <w:sz w:val="24"/>
          <w:szCs w:val="24"/>
        </w:rPr>
        <w:t xml:space="preserve">Open Brain (Supabase MCP) was successfully connected to Claude Desktop during this session by editing the claude_desktop_config.json file. The config was corrected to merge two separate JSON objects into one root object with 'preferences' and 'mcpServers' as siblings.</w:t>
      </w:r>
    </w:p>
    <w:p>
      <w:pPr>
        <w:spacing w:after="160"/>
      </w:pPr>
      <w:r>
        <w:rPr>
          <w:rFonts w:ascii="Arial" w:cs="Arial" w:eastAsia="Arial" w:hAnsi="Arial"/>
          <w:sz w:val="24"/>
          <w:szCs w:val="24"/>
        </w:rPr>
        <w:t xml:space="preserve">All major decisions from this session have been captured to Open Brain. The following search queries will retrieve the key thoughts:</w:t>
      </w:r>
    </w:p>
    <w:p>
      <w:pPr>
        <w:spacing w:after="100"/>
      </w:pPr>
      <w:r>
        <w:rPr>
          <w:rFonts w:ascii="Courier New" w:cs="Courier New" w:eastAsia="Courier New" w:hAnsi="Courier New"/>
          <w:color w:val="1F3864"/>
          <w:sz w:val="20"/>
          <w:szCs w:val="20"/>
        </w:rPr>
        <w:t xml:space="preserve">CMU METALS prework module redesign</w:t>
      </w:r>
    </w:p>
    <w:p>
      <w:pPr>
        <w:spacing w:after="100"/>
      </w:pPr>
      <w:r>
        <w:rPr>
          <w:rFonts w:ascii="Courier New" w:cs="Courier New" w:eastAsia="Courier New" w:hAnsi="Courier New"/>
          <w:color w:val="1F3864"/>
          <w:sz w:val="20"/>
          <w:szCs w:val="20"/>
        </w:rPr>
        <w:t xml:space="preserve">Module 3 historical cost reframing</w:t>
      </w:r>
    </w:p>
    <w:p>
      <w:pPr>
        <w:spacing w:after="100"/>
      </w:pPr>
      <w:r>
        <w:rPr>
          <w:rFonts w:ascii="Courier New" w:cs="Courier New" w:eastAsia="Courier New" w:hAnsi="Courier New"/>
          <w:color w:val="1F3864"/>
          <w:sz w:val="20"/>
          <w:szCs w:val="20"/>
        </w:rPr>
        <w:t xml:space="preserve">accounting measurement worth language</w:t>
      </w:r>
    </w:p>
    <w:p>
      <w:pPr>
        <w:spacing w:after="100"/>
      </w:pPr>
      <w:r>
        <w:rPr>
          <w:rFonts w:ascii="Courier New" w:cs="Courier New" w:eastAsia="Courier New" w:hAnsi="Courier New"/>
          <w:color w:val="1F3864"/>
          <w:sz w:val="20"/>
          <w:szCs w:val="20"/>
        </w:rPr>
        <w:t xml:space="preserve">consistency review module development</w:t>
      </w:r>
    </w:p>
    <w:p>
      <w:pPr>
        <w:spacing w:after="160"/>
      </w:pPr>
      <w:r>
        <w:rPr>
          <w:rFonts w:ascii="Arial" w:cs="Arial" w:eastAsia="Arial" w:hAnsi="Arial"/>
          <w:sz w:val="24"/>
          <w:szCs w:val="24"/>
        </w:rPr>
        <w:t xml:space="preserve">Open Brain is available as a connected tool in claude.ai. In a new chat, use it to retrieve context as needed.</w:t>
      </w:r>
    </w:p>
    <w:p>
      <w:pPr>
        <w:pStyle w:val="Heading1"/>
      </w:pPr>
      <w:r>
        <w:rPr>
          <w:rFonts w:ascii="Arial" w:cs="Arial" w:eastAsia="Arial" w:hAnsi="Arial"/>
          <w:b/>
          <w:bCs/>
          <w:sz w:val="32"/>
          <w:szCs w:val="32"/>
        </w:rPr>
        <w:t xml:space="preserve">How to Resume in a New Chat</w:t>
      </w:r>
    </w:p>
    <w:p>
      <w:pPr>
        <w:spacing w:after="160"/>
      </w:pPr>
      <w:r>
        <w:rPr>
          <w:rFonts w:ascii="Arial" w:cs="Arial" w:eastAsia="Arial" w:hAnsi="Arial"/>
          <w:sz w:val="24"/>
          <w:szCs w:val="24"/>
        </w:rPr>
        <w:t xml:space="preserve">Suggested opening message for the new chat:</w:t>
      </w:r>
    </w:p>
    <w:p>
      <w:pPr>
        <w:pBdr>
          <w:left w:val="single" w:color="2E75B6" w:sz="6" w:space="120"/>
        </w:pBdr>
        <w:spacing w:after="160" w:before="160"/>
        <w:ind w:left="720"/>
      </w:pPr>
      <w:r>
        <w:rPr>
          <w:rFonts w:ascii="Arial" w:cs="Arial" w:eastAsia="Arial" w:hAnsi="Arial"/>
          <w:i/>
          <w:iCs/>
          <w:sz w:val="24"/>
          <w:szCs w:val="24"/>
        </w:rPr>
        <w:t xml:space="preserve">I am continuing work on the CMU METALS Prework redesign. I am attaching the Continuation Brief (this document) and the full module redraft document (CMU_METALS_Prework_Redesign.docx). Please read both before we begin. The most pressing item is revising Module 3 to incorporate the historical cost reframing — see the Continuation Brief for the correct framing. After that, we need to do the full consistency review across all modules.</w:t>
      </w:r>
    </w:p>
    <w:p>
      <w:pPr>
        <w:spacing w:after="160"/>
      </w:pPr>
      <w:r>
        <w:rPr>
          <w:rFonts w:ascii="Arial" w:cs="Arial" w:eastAsia="Arial" w:hAnsi="Arial"/>
          <w:sz w:val="24"/>
          <w:szCs w:val="24"/>
        </w:rPr>
        <w:t xml:space="preserve">Also: the Open Brain MCP is connected and contains captured thoughts from the March 17 session. You can search it at any time for additional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2026-03-17T20:35:20.555Z</dcterms:created>
  <dcterms:modified xsi:type="dcterms:W3CDTF">2026-03-17T20:35:20.557Z</dcterms:modified>
</cp:coreProperties>
</file>

<file path=docProps/custom.xml><?xml version="1.0" encoding="utf-8"?>
<Properties xmlns="http://schemas.openxmlformats.org/officeDocument/2006/custom-properties" xmlns:vt="http://schemas.openxmlformats.org/officeDocument/2006/docPropsVTypes"/>
</file>