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44153" w14:textId="77777777" w:rsidR="008A43CF" w:rsidRDefault="00000000">
      <w:pPr>
        <w:spacing w:after="60"/>
      </w:pPr>
      <w:r>
        <w:rPr>
          <w:rFonts w:ascii="Georgia" w:eastAsia="Georgia" w:hAnsi="Georgia" w:cs="Georgia"/>
          <w:b/>
          <w:bCs/>
          <w:color w:val="1E2761"/>
          <w:sz w:val="40"/>
          <w:szCs w:val="40"/>
        </w:rPr>
        <w:t>Revenue Recognition: From Conventions to Standards</w:t>
      </w:r>
    </w:p>
    <w:p w14:paraId="33644154" w14:textId="77777777" w:rsidR="008A43CF" w:rsidRDefault="00000000">
      <w:pPr>
        <w:spacing w:after="20"/>
      </w:pPr>
      <w:r>
        <w:rPr>
          <w:color w:val="3A6EA5"/>
          <w:sz w:val="24"/>
          <w:szCs w:val="24"/>
        </w:rPr>
        <w:t>Teaching Notes — Session 16</w:t>
      </w:r>
    </w:p>
    <w:p w14:paraId="33644155" w14:textId="77777777" w:rsidR="008A43CF" w:rsidRDefault="00000000">
      <w:pPr>
        <w:pBdr>
          <w:bottom w:val="single" w:sz="6" w:space="8" w:color="3A6EA5"/>
        </w:pBdr>
        <w:spacing w:after="240"/>
      </w:pPr>
      <w:r>
        <w:rPr>
          <w:color w:val="666666"/>
          <w:sz w:val="20"/>
          <w:szCs w:val="20"/>
        </w:rPr>
        <w:t>Spring 2026  |  Professor Rick Antle  |  Yale Law School</w:t>
      </w:r>
    </w:p>
    <w:p w14:paraId="33644156" w14:textId="77777777" w:rsidR="008A43CF" w:rsidRDefault="00000000">
      <w:pPr>
        <w:pStyle w:val="Heading1"/>
      </w:pPr>
      <w:r>
        <w:t>Part 1: What We Already Know</w:t>
      </w:r>
    </w:p>
    <w:p w14:paraId="33644157" w14:textId="77777777" w:rsidR="008A43CF" w:rsidRDefault="00000000">
      <w:pPr>
        <w:spacing w:after="120"/>
      </w:pPr>
      <w:r>
        <w:t>Every practice problem this semester involved a revenue recognition decision, even though we didn’t label it that way. When Ralphy’s Business sold products, we asked: when does the revenue appear on the income statement? When Grow Co. recognized service revenue over time, we were applying revenue recognition conventions without naming them.</w:t>
      </w:r>
    </w:p>
    <w:p w14:paraId="33644158" w14:textId="77777777" w:rsidR="008A43CF" w:rsidRDefault="00000000">
      <w:pPr>
        <w:spacing w:after="120"/>
      </w:pPr>
      <w:r>
        <w:t>The traditional accounting convention recognizes revenue when four conditions are met:</w:t>
      </w:r>
    </w:p>
    <w:p w14:paraId="33644159" w14:textId="77777777" w:rsidR="008A43CF" w:rsidRDefault="00000000">
      <w:pPr>
        <w:pStyle w:val="ListParagraph"/>
        <w:numPr>
          <w:ilvl w:val="0"/>
          <w:numId w:val="2"/>
        </w:numPr>
        <w:spacing w:after="60"/>
      </w:pPr>
      <w:r>
        <w:rPr>
          <w:b/>
          <w:bCs/>
        </w:rPr>
        <w:t>The earnings process is complete or substantially complete</w:t>
      </w:r>
    </w:p>
    <w:p w14:paraId="3364415A" w14:textId="77777777" w:rsidR="008A43CF" w:rsidRDefault="00000000">
      <w:pPr>
        <w:pStyle w:val="ListParagraph"/>
        <w:numPr>
          <w:ilvl w:val="0"/>
          <w:numId w:val="2"/>
        </w:numPr>
        <w:spacing w:after="60"/>
      </w:pPr>
      <w:r>
        <w:rPr>
          <w:b/>
          <w:bCs/>
        </w:rPr>
        <w:t>An exchange has occurred</w:t>
      </w:r>
    </w:p>
    <w:p w14:paraId="3364415B" w14:textId="77777777" w:rsidR="008A43CF" w:rsidRDefault="00000000">
      <w:pPr>
        <w:pStyle w:val="ListParagraph"/>
        <w:numPr>
          <w:ilvl w:val="0"/>
          <w:numId w:val="2"/>
        </w:numPr>
        <w:spacing w:after="60"/>
      </w:pPr>
      <w:r>
        <w:rPr>
          <w:b/>
          <w:bCs/>
        </w:rPr>
        <w:t>The amount of revenue can be measured with some accuracy</w:t>
      </w:r>
    </w:p>
    <w:p w14:paraId="3364415C" w14:textId="77777777" w:rsidR="008A43CF" w:rsidRDefault="00000000">
      <w:pPr>
        <w:pStyle w:val="ListParagraph"/>
        <w:numPr>
          <w:ilvl w:val="0"/>
          <w:numId w:val="2"/>
        </w:numPr>
        <w:spacing w:after="120"/>
      </w:pPr>
      <w:r>
        <w:rPr>
          <w:b/>
          <w:bCs/>
        </w:rPr>
        <w:t>The entity is reasonably sure of collecting the amount owed</w:t>
      </w:r>
    </w:p>
    <w:p w14:paraId="3364415D" w14:textId="77777777" w:rsidR="008A43CF" w:rsidRDefault="00000000">
      <w:pPr>
        <w:spacing w:after="120"/>
      </w:pPr>
      <w:r>
        <w:t>These come from Section 4.0 of the course readings (“Capturing and Reporting Value Flows”). For simple transactions — ship goods, send invoice, collect cash — they work fine. The question is what happens when transactions aren’t simple.</w:t>
      </w:r>
    </w:p>
    <w:p w14:paraId="3364415E" w14:textId="77777777" w:rsidR="008A43CF" w:rsidRDefault="00000000">
      <w:pPr>
        <w:pStyle w:val="Heading1"/>
      </w:pPr>
      <w:r>
        <w:t>Part 2: Why the Old Criteria Broke Down</w:t>
      </w:r>
    </w:p>
    <w:p w14:paraId="3364415F" w14:textId="77777777" w:rsidR="008A43CF" w:rsidRDefault="00000000">
      <w:pPr>
        <w:pStyle w:val="Heading2"/>
      </w:pPr>
      <w:r>
        <w:t>A. The Business World Changed</w:t>
      </w:r>
    </w:p>
    <w:p w14:paraId="33644160" w14:textId="77777777" w:rsidR="008A43CF" w:rsidRDefault="00000000">
      <w:pPr>
        <w:spacing w:after="120"/>
      </w:pPr>
      <w:r>
        <w:t>The four criteria emerged when most revenue transactions were straightforward: a manufacturer shipped products, invoiced the buyer, and collected payment. But business models evolved faster than the accounting rules:</w:t>
      </w:r>
    </w:p>
    <w:p w14:paraId="33644161" w14:textId="77777777" w:rsidR="008A43CF" w:rsidRDefault="00000000">
      <w:pPr>
        <w:pStyle w:val="ListParagraph"/>
        <w:numPr>
          <w:ilvl w:val="0"/>
          <w:numId w:val="3"/>
        </w:numPr>
        <w:spacing w:after="60"/>
      </w:pPr>
      <w:r>
        <w:t>1970s–80s: Simple goods transactions. Ship it, invoice it, get paid. The criteria worked.</w:t>
      </w:r>
    </w:p>
    <w:p w14:paraId="33644162" w14:textId="77777777" w:rsidR="008A43CF" w:rsidRDefault="00000000">
      <w:pPr>
        <w:pStyle w:val="ListParagraph"/>
        <w:numPr>
          <w:ilvl w:val="0"/>
          <w:numId w:val="3"/>
        </w:numPr>
        <w:spacing w:after="60"/>
      </w:pPr>
      <w:r>
        <w:t>1990s: Software licensing changed everything. Companies sold licenses bundled with implementation, training, and ongoing support. What was “delivered”? When was the earnings process “complete”?</w:t>
      </w:r>
    </w:p>
    <w:p w14:paraId="33644163" w14:textId="77777777" w:rsidR="008A43CF" w:rsidRDefault="00000000">
      <w:pPr>
        <w:pStyle w:val="ListParagraph"/>
        <w:numPr>
          <w:ilvl w:val="0"/>
          <w:numId w:val="3"/>
        </w:numPr>
        <w:spacing w:after="60"/>
      </w:pPr>
      <w:r>
        <w:t>2000s: Multi-element arrangements became the norm in telecom, technology, and media. A single contract might include hardware, software, a service plan, and a warranty — each with different revenue timing.</w:t>
      </w:r>
    </w:p>
    <w:p w14:paraId="33644164" w14:textId="77777777" w:rsidR="008A43CF" w:rsidRDefault="00000000">
      <w:pPr>
        <w:pStyle w:val="ListParagraph"/>
        <w:numPr>
          <w:ilvl w:val="0"/>
          <w:numId w:val="3"/>
        </w:numPr>
        <w:spacing w:after="60"/>
      </w:pPr>
      <w:r>
        <w:t>2010s: Subscriptions, SaaS, and the “as-a-service” economy. Customers pay monthly for access to a product that may never ship. “Exchange occurred” and “learnings process complete” barely apply.</w:t>
      </w:r>
    </w:p>
    <w:p w14:paraId="33644165" w14:textId="77777777" w:rsidR="008A43CF" w:rsidRDefault="00000000">
      <w:pPr>
        <w:pStyle w:val="Heading2"/>
      </w:pPr>
      <w:r>
        <w:t>B. The Patchwork of Industry-Specific Rules</w:t>
      </w:r>
    </w:p>
    <w:p w14:paraId="33644166" w14:textId="77777777" w:rsidR="008A43CF" w:rsidRDefault="00000000">
      <w:pPr>
        <w:spacing w:after="120"/>
      </w:pPr>
      <w:r>
        <w:t>Rather than rethink the framework, FASB issued separate guidance for each industry that didn’t fit the general model. By the 2000s, there were approximately 100 pieces of authoritative guidance on revenue recognition. Key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5960"/>
      </w:tblGrid>
      <w:tr w:rsidR="008A43CF" w14:paraId="336441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167" w14:textId="77777777" w:rsidR="008A43CF" w:rsidRDefault="00000000">
            <w:r>
              <w:rPr>
                <w:b/>
                <w:bCs/>
                <w:color w:val="FFFFFF"/>
                <w:sz w:val="20"/>
                <w:szCs w:val="20"/>
              </w:rPr>
              <w:lastRenderedPageBreak/>
              <w:t>Industry</w:t>
            </w:r>
          </w:p>
        </w:tc>
        <w:tc>
          <w:tcPr>
            <w:tcW w:w="18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168" w14:textId="77777777" w:rsidR="008A43CF" w:rsidRDefault="00000000">
            <w:r>
              <w:rPr>
                <w:b/>
                <w:bCs/>
                <w:color w:val="FFFFFF"/>
                <w:sz w:val="20"/>
                <w:szCs w:val="20"/>
              </w:rPr>
              <w:t>Standard</w:t>
            </w:r>
          </w:p>
        </w:tc>
        <w:tc>
          <w:tcPr>
            <w:tcW w:w="59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169" w14:textId="77777777" w:rsidR="008A43CF" w:rsidRDefault="00000000">
            <w:r>
              <w:rPr>
                <w:b/>
                <w:bCs/>
                <w:color w:val="FFFFFF"/>
                <w:sz w:val="20"/>
                <w:szCs w:val="20"/>
              </w:rPr>
              <w:t>Key Issue</w:t>
            </w:r>
          </w:p>
        </w:tc>
      </w:tr>
      <w:tr w:rsidR="008A43CF" w14:paraId="336441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6B" w14:textId="77777777" w:rsidR="008A43CF" w:rsidRDefault="00000000">
            <w:r>
              <w:rPr>
                <w:color w:val="1A1A2E"/>
                <w:sz w:val="20"/>
                <w:szCs w:val="20"/>
              </w:rPr>
              <w:t>Software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6C" w14:textId="77777777" w:rsidR="008A43CF" w:rsidRDefault="00000000">
            <w:r>
              <w:rPr>
                <w:color w:val="1A1A2E"/>
                <w:sz w:val="20"/>
                <w:szCs w:val="20"/>
              </w:rPr>
              <w:t>SOP 97-2 / ASC 985-605</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6D" w14:textId="77777777" w:rsidR="008A43CF" w:rsidRDefault="00000000">
            <w:r>
              <w:rPr>
                <w:color w:val="1A1A2E"/>
                <w:sz w:val="20"/>
                <w:szCs w:val="20"/>
              </w:rPr>
              <w:t>Required “vendor-specific objective evidence” (VSOE) of fair value to allocate revenue across bundled elements. No VSOE for support? Defer all revenue — even on delivered software. Patched repeatedly: SOP 98-9, then EITF 08-1 and 09-3 carved out hardware (iPhones bundled with software).</w:t>
            </w:r>
          </w:p>
        </w:tc>
      </w:tr>
      <w:tr w:rsidR="008A43CF" w14:paraId="3364417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6F" w14:textId="77777777" w:rsidR="008A43CF" w:rsidRDefault="00000000">
            <w:r>
              <w:rPr>
                <w:color w:val="1A1A2E"/>
                <w:sz w:val="20"/>
                <w:szCs w:val="20"/>
              </w:rPr>
              <w:t>Construction</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70" w14:textId="77777777" w:rsidR="008A43CF" w:rsidRDefault="00000000">
            <w:r>
              <w:rPr>
                <w:color w:val="1A1A2E"/>
                <w:sz w:val="20"/>
                <w:szCs w:val="20"/>
              </w:rPr>
              <w:t>SOP 81-1 / ASC 605-35</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71" w14:textId="77777777" w:rsidR="008A43CF" w:rsidRDefault="00000000">
            <w:r>
              <w:rPr>
                <w:color w:val="1A1A2E"/>
                <w:sz w:val="20"/>
                <w:szCs w:val="20"/>
              </w:rPr>
              <w:t>Choose percentage-of-completion or completed-contract. Different methods produced radically different income on the same project. The choice depended on “dependable estimates” — constantly disputed.</w:t>
            </w:r>
          </w:p>
        </w:tc>
      </w:tr>
      <w:tr w:rsidR="008A43CF" w14:paraId="3364417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73" w14:textId="77777777" w:rsidR="008A43CF" w:rsidRDefault="00000000">
            <w:r>
              <w:rPr>
                <w:color w:val="1A1A2E"/>
                <w:sz w:val="20"/>
                <w:szCs w:val="20"/>
              </w:rPr>
              <w:t>Real Estate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74" w14:textId="77777777" w:rsidR="008A43CF" w:rsidRDefault="00000000">
            <w:r>
              <w:rPr>
                <w:color w:val="1A1A2E"/>
                <w:sz w:val="20"/>
                <w:szCs w:val="20"/>
              </w:rPr>
              <w:t>SFAS 66 / ASC 360-20</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75" w14:textId="77777777" w:rsidR="008A43CF" w:rsidRDefault="00000000">
            <w:r>
              <w:rPr>
                <w:color w:val="1A1A2E"/>
                <w:sz w:val="20"/>
                <w:szCs w:val="20"/>
              </w:rPr>
              <w:t>Entirely separate recognition criteria with minimum down-payment thresholds varying by property type (residential ≠ office ≠ undeveloped land).</w:t>
            </w:r>
          </w:p>
        </w:tc>
      </w:tr>
      <w:tr w:rsidR="008A43CF" w14:paraId="3364417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77" w14:textId="77777777" w:rsidR="008A43CF" w:rsidRDefault="00000000">
            <w:r>
              <w:rPr>
                <w:color w:val="1A1A2E"/>
                <w:sz w:val="20"/>
                <w:szCs w:val="20"/>
              </w:rPr>
              <w:t>Franchises</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78" w14:textId="77777777" w:rsidR="008A43CF" w:rsidRDefault="00000000">
            <w:r>
              <w:rPr>
                <w:color w:val="1A1A2E"/>
                <w:sz w:val="20"/>
                <w:szCs w:val="20"/>
              </w:rPr>
              <w:t>SFAS 45 / ASC 952</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79" w14:textId="77777777" w:rsidR="008A43CF" w:rsidRDefault="00000000">
            <w:r>
              <w:rPr>
                <w:color w:val="1A1A2E"/>
                <w:sz w:val="20"/>
                <w:szCs w:val="20"/>
              </w:rPr>
              <w:t>Initial franchise fees couldn’t be recognized until “substantially all” services performed. Cottage industry of disputes about what that meant.</w:t>
            </w:r>
          </w:p>
        </w:tc>
      </w:tr>
      <w:tr w:rsidR="008A43CF" w14:paraId="3364417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7B" w14:textId="77777777" w:rsidR="008A43CF" w:rsidRDefault="00000000">
            <w:r>
              <w:rPr>
                <w:color w:val="1A1A2E"/>
                <w:sz w:val="20"/>
                <w:szCs w:val="20"/>
              </w:rPr>
              <w:t>Film &amp; TV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7C" w14:textId="77777777" w:rsidR="008A43CF" w:rsidRDefault="00000000">
            <w:r>
              <w:rPr>
                <w:color w:val="1A1A2E"/>
                <w:sz w:val="20"/>
                <w:szCs w:val="20"/>
              </w:rPr>
              <w:t>SOP 00-2 / ASC 926</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7D" w14:textId="77777777" w:rsidR="008A43CF" w:rsidRDefault="00000000">
            <w:r>
              <w:rPr>
                <w:color w:val="1A1A2E"/>
                <w:sz w:val="20"/>
                <w:szCs w:val="20"/>
              </w:rPr>
              <w:t>Different timing rules for each distribution window: theatrical, home video, pay TV, free TV.</w:t>
            </w:r>
          </w:p>
        </w:tc>
      </w:tr>
      <w:tr w:rsidR="008A43CF" w14:paraId="336441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7F" w14:textId="77777777" w:rsidR="008A43CF" w:rsidRDefault="00000000">
            <w:r>
              <w:rPr>
                <w:color w:val="1A1A2E"/>
                <w:sz w:val="20"/>
                <w:szCs w:val="20"/>
              </w:rPr>
              <w:t>Telecom</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80" w14:textId="77777777" w:rsidR="008A43CF" w:rsidRDefault="00000000">
            <w:r>
              <w:rPr>
                <w:color w:val="1A1A2E"/>
                <w:sz w:val="20"/>
                <w:szCs w:val="20"/>
              </w:rPr>
              <w:t>ASC 605-25 / SAB 104</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81" w14:textId="77777777" w:rsidR="008A43CF" w:rsidRDefault="00000000">
            <w:r>
              <w:rPr>
                <w:color w:val="1A1A2E"/>
                <w:sz w:val="20"/>
                <w:szCs w:val="20"/>
              </w:rPr>
              <w:t>Own guidance for activation fees, handset subsidies, and bundled service contracts. Whether a subsidized phone was a separate deliverable from the wireless plan was debated for years.</w:t>
            </w:r>
          </w:p>
        </w:tc>
      </w:tr>
      <w:tr w:rsidR="008A43CF" w14:paraId="3364418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83" w14:textId="77777777" w:rsidR="008A43CF" w:rsidRDefault="00000000">
            <w:r>
              <w:rPr>
                <w:color w:val="1A1A2E"/>
                <w:sz w:val="20"/>
                <w:szCs w:val="20"/>
              </w:rPr>
              <w:t>Multi-Element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84" w14:textId="77777777" w:rsidR="008A43CF" w:rsidRDefault="00000000">
            <w:r>
              <w:rPr>
                <w:color w:val="1A1A2E"/>
                <w:sz w:val="20"/>
                <w:szCs w:val="20"/>
              </w:rPr>
              <w:t>EITF 00-21 / ASU 2009-13</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85" w14:textId="77777777" w:rsidR="008A43CF" w:rsidRDefault="00000000">
            <w:r>
              <w:rPr>
                <w:color w:val="1A1A2E"/>
                <w:sz w:val="20"/>
                <w:szCs w:val="20"/>
              </w:rPr>
              <w:t>General rule for bundled deals ran alongside the industry-specific rules. You first had to determine which regime governed, then apply the right allocation method.</w:t>
            </w:r>
          </w:p>
        </w:tc>
      </w:tr>
    </w:tbl>
    <w:p w14:paraId="33644187" w14:textId="77777777" w:rsidR="008A43CF" w:rsidRDefault="008A43CF">
      <w:pPr>
        <w:spacing w:after="120"/>
      </w:pPr>
    </w:p>
    <w:p w14:paraId="33644188" w14:textId="77777777" w:rsidR="008A43CF" w:rsidRDefault="00000000">
      <w:pPr>
        <w:pStyle w:val="Heading2"/>
      </w:pPr>
      <w:r>
        <w:t>C. Where the Cracks Showed</w:t>
      </w:r>
    </w:p>
    <w:p w14:paraId="33644189" w14:textId="77777777" w:rsidR="008A43CF" w:rsidRDefault="00000000">
      <w:pPr>
        <w:spacing w:after="120"/>
      </w:pPr>
      <w:r>
        <w:t>The scandals below illustrate how each of the four traditional criteria could be exploited. These span different time periods — this isn’t a single crisis but a persistent pattern enabled by vague standards.</w:t>
      </w:r>
    </w:p>
    <w:p w14:paraId="3364418A" w14:textId="77777777" w:rsidR="008A43CF" w:rsidRDefault="00000000">
      <w:r>
        <w:br w:type="page"/>
      </w:r>
    </w:p>
    <w:p w14:paraId="3364418B" w14:textId="77777777" w:rsidR="008A43CF" w:rsidRDefault="00000000">
      <w:pPr>
        <w:spacing w:after="120"/>
      </w:pPr>
      <w:r>
        <w:rPr>
          <w:b/>
          <w:bCs/>
          <w:color w:val="1E2761"/>
        </w:rPr>
        <w:lastRenderedPageBreak/>
        <w:t>Sunbeam Corporation (1996–1998) — Bill-and-Hold Revenue</w:t>
      </w:r>
    </w:p>
    <w:p w14:paraId="3364418C" w14:textId="77777777" w:rsidR="008A43CF" w:rsidRDefault="00000000">
      <w:pPr>
        <w:spacing w:after="120"/>
      </w:pPr>
      <w:r>
        <w:t>Criterion tested: “An exchange has occurred.”</w:t>
      </w:r>
    </w:p>
    <w:p w14:paraId="3364418D" w14:textId="77777777" w:rsidR="008A43CF" w:rsidRDefault="00000000">
      <w:pPr>
        <w:spacing w:after="120"/>
      </w:pPr>
      <w:r>
        <w:t>Under CEO “Chainsaw Al” Dunlap, Sunbeam recorded revenue on products that customers had “purchased” but asked Sunbeam to hold in its own warehouses. The goods never shipped. At least $62 million of the reported $189 million in income came from these and related practices. The customer had title on paper, but the goods sat in Sunbeam’s warehouse, at Sunbeam’s risk, and often with side agreements allowing returns.</w:t>
      </w:r>
    </w:p>
    <w:p w14:paraId="3364418E" w14:textId="77777777" w:rsidR="008A43CF" w:rsidRDefault="00000000">
      <w:pPr>
        <w:spacing w:after="120"/>
      </w:pPr>
      <w:r>
        <w:rPr>
          <w:i/>
          <w:iCs/>
          <w:color w:val="3A6EA5"/>
        </w:rPr>
        <w:t>Discussion question: Did an exchange occur? Title transferred, but the goods never left the building.</w:t>
      </w:r>
    </w:p>
    <w:p w14:paraId="3364418F" w14:textId="77777777" w:rsidR="008A43CF" w:rsidRDefault="00000000">
      <w:pPr>
        <w:spacing w:after="120"/>
      </w:pPr>
      <w:r>
        <w:rPr>
          <w:b/>
          <w:bCs/>
          <w:color w:val="1E2761"/>
        </w:rPr>
        <w:t>Xerox Corporation (1997–2000) — Lease vs. Rental Reclassification</w:t>
      </w:r>
    </w:p>
    <w:p w14:paraId="33644190" w14:textId="77777777" w:rsidR="008A43CF" w:rsidRDefault="00000000">
      <w:pPr>
        <w:spacing w:after="120"/>
      </w:pPr>
      <w:r>
        <w:t>Criterion tested: “Earnings process substantially complete.”</w:t>
      </w:r>
    </w:p>
    <w:p w14:paraId="33644191" w14:textId="77777777" w:rsidR="008A43CF" w:rsidRDefault="00000000">
      <w:pPr>
        <w:spacing w:after="120"/>
      </w:pPr>
      <w:r>
        <w:t>Xerox accelerated over $3 billion in revenue by reclassifying short-term equipment rentals as long-term leases. Under GAAP, the full value of a long-term lease can be recognized in Year 1; rental revenue must be spread over the contract term. The economic substance was a rental — service delivered over time — but the accounting label let Xerox book years of future revenue immediately. SEC fine: $10 million, plus restatement of four years of financials.</w:t>
      </w:r>
    </w:p>
    <w:p w14:paraId="33644192" w14:textId="77777777" w:rsidR="008A43CF" w:rsidRDefault="00000000">
      <w:pPr>
        <w:spacing w:after="120"/>
      </w:pPr>
      <w:r>
        <w:rPr>
          <w:i/>
          <w:iCs/>
          <w:color w:val="3A6EA5"/>
        </w:rPr>
        <w:t>Discussion question: When is the earnings process “substantially complete” on a five-year service contract?</w:t>
      </w:r>
    </w:p>
    <w:p w14:paraId="33644193" w14:textId="77777777" w:rsidR="008A43CF" w:rsidRDefault="00000000">
      <w:pPr>
        <w:spacing w:after="120"/>
      </w:pPr>
      <w:r>
        <w:rPr>
          <w:b/>
          <w:bCs/>
          <w:color w:val="1E2761"/>
        </w:rPr>
        <w:t>Bristol-Myers Squibb (2000–2001) — Channel Stuffing</w:t>
      </w:r>
    </w:p>
    <w:p w14:paraId="33644194" w14:textId="77777777" w:rsidR="008A43CF" w:rsidRDefault="00000000">
      <w:pPr>
        <w:spacing w:after="120"/>
      </w:pPr>
      <w:r>
        <w:t>Criterion tested: “Reasonably sure of collection.”</w:t>
      </w:r>
    </w:p>
    <w:p w14:paraId="33644195" w14:textId="77777777" w:rsidR="008A43CF" w:rsidRDefault="00000000">
      <w:pPr>
        <w:spacing w:after="120"/>
      </w:pPr>
      <w:r>
        <w:t>Bristol-Myers shipped $1.5 billion in excess pharmaceuticals to its two largest wholesalers — far more than they could sell. The wholesalers technically owed the money, but had side agreements allowing returns of unsold product. The company was borrowing sales from the future to meet Wall Street earnings targets. SEC penalty: $150 million. The practice artificially inflated revenue by about $2.5 billion.</w:t>
      </w:r>
    </w:p>
    <w:p w14:paraId="33644196" w14:textId="77777777" w:rsidR="008A43CF" w:rsidRDefault="00000000">
      <w:pPr>
        <w:spacing w:after="120"/>
      </w:pPr>
      <w:r>
        <w:rPr>
          <w:i/>
          <w:iCs/>
          <w:color w:val="3A6EA5"/>
        </w:rPr>
        <w:t>Discussion question: Are you “reasonably sure of collection” when there’s a side agreement allowing returns?</w:t>
      </w:r>
    </w:p>
    <w:p w14:paraId="33644197" w14:textId="77777777" w:rsidR="008A43CF" w:rsidRDefault="00000000">
      <w:pPr>
        <w:spacing w:after="120"/>
      </w:pPr>
      <w:r>
        <w:rPr>
          <w:b/>
          <w:bCs/>
          <w:color w:val="1E2761"/>
        </w:rPr>
        <w:t>Enron Corporation (1996–2001) — Mark-to-Market on Energy Contracts</w:t>
      </w:r>
    </w:p>
    <w:p w14:paraId="33644198" w14:textId="77777777" w:rsidR="008A43CF" w:rsidRDefault="00000000">
      <w:pPr>
        <w:spacing w:after="120"/>
      </w:pPr>
      <w:r>
        <w:t>Criterion tested: “Measured with some accuracy.”</w:t>
      </w:r>
    </w:p>
    <w:p w14:paraId="33644199" w14:textId="77777777" w:rsidR="008A43CF" w:rsidRDefault="00000000">
      <w:pPr>
        <w:spacing w:after="120"/>
      </w:pPr>
      <w:r>
        <w:t>Enron applied mark-to-market accounting to long-term energy contracts with no active market. When they signed a 20-year deal with $200 million in projected profit, they booked the entire present value as revenue on Day 1. With no market prices available, Enron’s own traders chose the discount rates and assumptions. The company reported $111 billion in revenue in 2000. By December 2001, it was bankrupt.</w:t>
      </w:r>
    </w:p>
    <w:p w14:paraId="3364419A" w14:textId="77777777" w:rsidR="008A43CF" w:rsidRDefault="00000000">
      <w:pPr>
        <w:spacing w:after="120"/>
      </w:pPr>
      <w:r>
        <w:rPr>
          <w:i/>
          <w:iCs/>
          <w:color w:val="3A6EA5"/>
        </w:rPr>
        <w:t>Discussion question: Who decides what “some accuracy” means when there’s no market to check against?</w:t>
      </w:r>
    </w:p>
    <w:p w14:paraId="3364419B" w14:textId="77777777" w:rsidR="008A43CF" w:rsidRDefault="00000000">
      <w:pPr>
        <w:pStyle w:val="Heading2"/>
      </w:pPr>
      <w:r>
        <w:t>D. The Gross vs. Net Problem: Priceline and EITF 99-19</w:t>
      </w:r>
    </w:p>
    <w:p w14:paraId="3364419C" w14:textId="77777777" w:rsidR="008A43CF" w:rsidRDefault="00000000">
      <w:pPr>
        <w:spacing w:after="120"/>
      </w:pPr>
      <w:r>
        <w:t>Not all revenue recognition failures involved fraud. Some involved a more subtle question: how much revenue should a company report?</w:t>
      </w:r>
    </w:p>
    <w:p w14:paraId="3364419D" w14:textId="77777777" w:rsidR="008A43CF" w:rsidRDefault="00000000">
      <w:pPr>
        <w:spacing w:after="120"/>
      </w:pPr>
      <w:r>
        <w:lastRenderedPageBreak/>
        <w:t>In the late 1990s and early 2000s, Priceline’s “Name Your Own Price” model let users bid on airline tickets and hotel rooms. If a customer paid $300 for a flight and Priceline’s spread was $30, Priceline reported $300 as revenue and $270 as cost of goods sold — not $30 in net revenue. This made the company appear to have roughly ten times the revenue it actually earned as a matchmaker.</w:t>
      </w:r>
    </w:p>
    <w:p w14:paraId="3364419E" w14:textId="77777777" w:rsidR="008A43CF" w:rsidRDefault="00000000">
      <w:pPr>
        <w:spacing w:after="120"/>
      </w:pPr>
      <w:r>
        <w:t>The question was whether Priceline was a principal (controlling the service, bearing inventory risk) or an agent (arranging the transaction between buyer and seller). The EITF addressed this in EITF 99-19 (“Reporting Revenue Gross as a Principal versus Net as an Agent”), which laid out a list of indicators: Who bears inventory risk? Who has pricing latitude? Who selects the supplier? But the indicators were factors to be weighed, not bright-line rules, and different companies in the same industry — online travel agencies, marketplaces, group buying sites — reached different conclusions using the same framework.</w:t>
      </w:r>
    </w:p>
    <w:p w14:paraId="3364419F" w14:textId="77777777" w:rsidR="008A43CF" w:rsidRDefault="00000000">
      <w:pPr>
        <w:spacing w:after="120"/>
      </w:pPr>
      <w:r>
        <w:t>ASC 606 replaced the EITF 99-19 indicator list with a single question rooted in the control principle: does the entity control the good or service before it is transferred to the customer? If yes, the entity is the principal and reports gross. If no, the entity is an agent and reports net. As we will see, Uber applies exactly this test today — and reaches different answers for different business lines within the same company.</w:t>
      </w:r>
    </w:p>
    <w:p w14:paraId="336441A0" w14:textId="77777777" w:rsidR="008A43CF" w:rsidRDefault="00000000">
      <w:r>
        <w:br w:type="page"/>
      </w:r>
    </w:p>
    <w:p w14:paraId="336441A1" w14:textId="77777777" w:rsidR="008A43CF" w:rsidRDefault="00000000">
      <w:pPr>
        <w:pStyle w:val="Heading1"/>
      </w:pPr>
      <w:r>
        <w:lastRenderedPageBreak/>
        <w:t>Part 3: The Fix — ASC 606</w:t>
      </w:r>
    </w:p>
    <w:p w14:paraId="336441A2" w14:textId="77777777" w:rsidR="008A43CF" w:rsidRDefault="00000000">
      <w:pPr>
        <w:pStyle w:val="Heading2"/>
      </w:pPr>
      <w:r>
        <w:t>A. How ASC 606 Addresses Each Failure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8A43CF" w14:paraId="336441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1A3" w14:textId="77777777" w:rsidR="008A43CF" w:rsidRDefault="00000000">
            <w:r>
              <w:rPr>
                <w:b/>
                <w:bCs/>
                <w:color w:val="FFFFFF"/>
                <w:sz w:val="20"/>
                <w:szCs w:val="20"/>
              </w:rPr>
              <w:t>Old Criterion</w:t>
            </w:r>
          </w:p>
        </w:tc>
        <w:tc>
          <w:tcPr>
            <w:tcW w:w="436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1A4" w14:textId="77777777" w:rsidR="008A43CF" w:rsidRDefault="00000000">
            <w:r>
              <w:rPr>
                <w:b/>
                <w:bCs/>
                <w:color w:val="FFFFFF"/>
                <w:sz w:val="20"/>
                <w:szCs w:val="20"/>
              </w:rPr>
              <w:t>ASC 606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1A5" w14:textId="77777777" w:rsidR="008A43CF" w:rsidRDefault="00000000">
            <w:r>
              <w:rPr>
                <w:b/>
                <w:bCs/>
                <w:color w:val="FFFFFF"/>
                <w:sz w:val="20"/>
                <w:szCs w:val="20"/>
              </w:rPr>
              <w:t>Scandal It Addresses</w:t>
            </w:r>
          </w:p>
        </w:tc>
      </w:tr>
      <w:tr w:rsidR="008A43CF" w14:paraId="336441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A7" w14:textId="77777777" w:rsidR="008A43CF" w:rsidRDefault="00000000">
            <w:r>
              <w:rPr>
                <w:color w:val="1A1A2E"/>
                <w:sz w:val="20"/>
                <w:szCs w:val="20"/>
              </w:rPr>
              <w:t>“Exchange occurred”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A8" w14:textId="77777777" w:rsidR="008A43CF" w:rsidRDefault="00000000">
            <w:r>
              <w:rPr>
                <w:color w:val="1A1A2E"/>
                <w:sz w:val="20"/>
                <w:szCs w:val="20"/>
              </w:rPr>
              <w:t>Step 1: Identify the contract. Step 5: Transfer of control (not just legal 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A9" w14:textId="77777777" w:rsidR="008A43CF" w:rsidRDefault="00000000">
            <w:r>
              <w:rPr>
                <w:color w:val="1A1A2E"/>
                <w:sz w:val="20"/>
                <w:szCs w:val="20"/>
              </w:rPr>
              <w:t>Sunbeam (bill-and-hold)</w:t>
            </w:r>
          </w:p>
        </w:tc>
      </w:tr>
      <w:tr w:rsidR="008A43CF" w14:paraId="336441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AB" w14:textId="77777777" w:rsidR="008A43CF" w:rsidRDefault="00000000">
            <w:r>
              <w:rPr>
                <w:color w:val="1A1A2E"/>
                <w:sz w:val="20"/>
                <w:szCs w:val="20"/>
              </w:rPr>
              <w:t>“Substantially complete”</w:t>
            </w:r>
          </w:p>
        </w:tc>
        <w:tc>
          <w:tcPr>
            <w:tcW w:w="436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AC" w14:textId="77777777" w:rsidR="008A43CF" w:rsidRDefault="00000000">
            <w:r>
              <w:rPr>
                <w:color w:val="1A1A2E"/>
                <w:sz w:val="20"/>
                <w:szCs w:val="20"/>
              </w:rPr>
              <w:t>Step 2: Identify each performance obligation separately. Step 5: Over time vs. point in time.</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AD" w14:textId="77777777" w:rsidR="008A43CF" w:rsidRDefault="00000000">
            <w:r>
              <w:rPr>
                <w:color w:val="1A1A2E"/>
                <w:sz w:val="20"/>
                <w:szCs w:val="20"/>
              </w:rPr>
              <w:t>Xerox (lease reclassification)</w:t>
            </w:r>
          </w:p>
        </w:tc>
      </w:tr>
      <w:tr w:rsidR="008A43CF" w14:paraId="336441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AF" w14:textId="77777777" w:rsidR="008A43CF" w:rsidRDefault="00000000">
            <w:r>
              <w:rPr>
                <w:color w:val="1A1A2E"/>
                <w:sz w:val="20"/>
                <w:szCs w:val="20"/>
              </w:rPr>
              <w:t>“Reasonably sure”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B0" w14:textId="77777777" w:rsidR="008A43CF" w:rsidRDefault="00000000">
            <w:r>
              <w:rPr>
                <w:color w:val="1A1A2E"/>
                <w:sz w:val="20"/>
                <w:szCs w:val="20"/>
              </w:rPr>
              <w:t xml:space="preserve">Step 1: </w:t>
            </w:r>
            <w:proofErr w:type="spellStart"/>
            <w:r>
              <w:rPr>
                <w:color w:val="1A1A2E"/>
                <w:sz w:val="20"/>
                <w:szCs w:val="20"/>
              </w:rPr>
              <w:t>Collectibility</w:t>
            </w:r>
            <w:proofErr w:type="spellEnd"/>
            <w:r>
              <w:rPr>
                <w:color w:val="1A1A2E"/>
                <w:sz w:val="20"/>
                <w:szCs w:val="20"/>
              </w:rPr>
              <w:t xml:space="preserve"> threshold. Variable consideration constraints limit over-optimism.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1B1" w14:textId="77777777" w:rsidR="008A43CF" w:rsidRDefault="00000000">
            <w:r>
              <w:rPr>
                <w:color w:val="1A1A2E"/>
                <w:sz w:val="20"/>
                <w:szCs w:val="20"/>
              </w:rPr>
              <w:t>Bristol-Myers (channel stuffing)</w:t>
            </w:r>
          </w:p>
        </w:tc>
      </w:tr>
      <w:tr w:rsidR="008A43CF" w14:paraId="336441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B3" w14:textId="77777777" w:rsidR="008A43CF" w:rsidRDefault="00000000">
            <w:r>
              <w:rPr>
                <w:color w:val="1A1A2E"/>
                <w:sz w:val="20"/>
                <w:szCs w:val="20"/>
              </w:rPr>
              <w:t>“Some accuracy”</w:t>
            </w:r>
          </w:p>
        </w:tc>
        <w:tc>
          <w:tcPr>
            <w:tcW w:w="436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B4" w14:textId="77777777" w:rsidR="008A43CF" w:rsidRDefault="00000000">
            <w:r>
              <w:rPr>
                <w:color w:val="1A1A2E"/>
                <w:sz w:val="20"/>
                <w:szCs w:val="20"/>
              </w:rPr>
              <w:t>Step 3: Structured transaction price. Step 4: Allocation with standalone selling prices.</w:t>
            </w:r>
          </w:p>
        </w:tc>
        <w:tc>
          <w:tcPr>
            <w:tcW w:w="28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1B5" w14:textId="77777777" w:rsidR="008A43CF" w:rsidRDefault="00000000">
            <w:r>
              <w:rPr>
                <w:color w:val="1A1A2E"/>
                <w:sz w:val="20"/>
                <w:szCs w:val="20"/>
              </w:rPr>
              <w:t>Enron (mark-to-market)</w:t>
            </w:r>
          </w:p>
        </w:tc>
      </w:tr>
    </w:tbl>
    <w:p w14:paraId="336441B7" w14:textId="77777777" w:rsidR="008A43CF" w:rsidRDefault="008A43CF">
      <w:pPr>
        <w:spacing w:after="120"/>
      </w:pPr>
    </w:p>
    <w:p w14:paraId="336441B8" w14:textId="77777777" w:rsidR="008A43CF" w:rsidRDefault="00000000">
      <w:r>
        <w:br w:type="page"/>
      </w:r>
    </w:p>
    <w:p w14:paraId="336441B9" w14:textId="77777777" w:rsidR="008A43CF" w:rsidRDefault="00000000">
      <w:pPr>
        <w:pStyle w:val="Heading2"/>
      </w:pPr>
      <w:r>
        <w:lastRenderedPageBreak/>
        <w:t>B. The Five-Step Model</w:t>
      </w:r>
    </w:p>
    <w:p w14:paraId="336441BA" w14:textId="77777777" w:rsidR="008A43CF" w:rsidRDefault="00000000">
      <w:pPr>
        <w:spacing w:after="120"/>
      </w:pPr>
      <w:r>
        <w:t>ASC 606 replaces the old four criteria with a structured five-step framework:</w:t>
      </w:r>
    </w:p>
    <w:p w14:paraId="336441BB" w14:textId="77777777" w:rsidR="008A43CF" w:rsidRDefault="00000000">
      <w:pPr>
        <w:pStyle w:val="ListParagraph"/>
        <w:numPr>
          <w:ilvl w:val="0"/>
          <w:numId w:val="2"/>
        </w:numPr>
        <w:spacing w:after="60"/>
      </w:pPr>
      <w:r>
        <w:rPr>
          <w:b/>
          <w:bCs/>
        </w:rPr>
        <w:t xml:space="preserve">Identify the contract </w:t>
      </w:r>
      <w:r>
        <w:t xml:space="preserve">with a customer. A contract must have commercial substance, be approved by both parties, identify rights and payment terms, and meet a </w:t>
      </w:r>
      <w:proofErr w:type="spellStart"/>
      <w:r>
        <w:t>collectibility</w:t>
      </w:r>
      <w:proofErr w:type="spellEnd"/>
      <w:r>
        <w:t xml:space="preserve"> threshold.</w:t>
      </w:r>
    </w:p>
    <w:p w14:paraId="336441BC" w14:textId="77777777" w:rsidR="008A43CF" w:rsidRDefault="00000000">
      <w:pPr>
        <w:pStyle w:val="ListParagraph"/>
        <w:numPr>
          <w:ilvl w:val="0"/>
          <w:numId w:val="2"/>
        </w:numPr>
        <w:spacing w:after="60"/>
      </w:pPr>
      <w:r>
        <w:rPr>
          <w:b/>
          <w:bCs/>
        </w:rPr>
        <w:t xml:space="preserve">Identify the performance obligations </w:t>
      </w:r>
      <w:r>
        <w:t>in the contract. Each distinct good or service (or bundle) is a separate performance obligation.</w:t>
      </w:r>
    </w:p>
    <w:p w14:paraId="336441BD" w14:textId="77777777" w:rsidR="008A43CF" w:rsidRDefault="00000000">
      <w:pPr>
        <w:pStyle w:val="ListParagraph"/>
        <w:numPr>
          <w:ilvl w:val="0"/>
          <w:numId w:val="2"/>
        </w:numPr>
        <w:spacing w:after="60"/>
      </w:pPr>
      <w:r>
        <w:rPr>
          <w:b/>
          <w:bCs/>
        </w:rPr>
        <w:t xml:space="preserve">Determine the transaction price. </w:t>
      </w:r>
      <w:r>
        <w:t>The total consideration expected, including variable amounts (discounts, rebates, penalties), the time value of money, and noncash consideration.</w:t>
      </w:r>
    </w:p>
    <w:p w14:paraId="336441BE" w14:textId="77777777" w:rsidR="008A43CF" w:rsidRDefault="00000000">
      <w:pPr>
        <w:pStyle w:val="ListParagraph"/>
        <w:numPr>
          <w:ilvl w:val="0"/>
          <w:numId w:val="2"/>
        </w:numPr>
        <w:spacing w:after="60"/>
      </w:pPr>
      <w:r>
        <w:rPr>
          <w:b/>
          <w:bCs/>
        </w:rPr>
        <w:t xml:space="preserve">Allocate the transaction price </w:t>
      </w:r>
      <w:r>
        <w:t>to performance obligations, generally based on relative standalone selling prices.</w:t>
      </w:r>
    </w:p>
    <w:p w14:paraId="336441BF" w14:textId="77777777" w:rsidR="008A43CF" w:rsidRDefault="00000000">
      <w:pPr>
        <w:pStyle w:val="ListParagraph"/>
        <w:numPr>
          <w:ilvl w:val="0"/>
          <w:numId w:val="2"/>
        </w:numPr>
        <w:spacing w:after="60"/>
      </w:pPr>
      <w:r>
        <w:rPr>
          <w:b/>
          <w:bCs/>
        </w:rPr>
        <w:t xml:space="preserve">Recognize revenue </w:t>
      </w:r>
      <w:r>
        <w:t>when (or as) each performance obligation is satisfied. “Satisfied” means the customer obtains control — either at a point in time or over time.</w:t>
      </w:r>
    </w:p>
    <w:p w14:paraId="336441C0" w14:textId="77777777" w:rsidR="008A43CF" w:rsidRDefault="00000000">
      <w:pPr>
        <w:pStyle w:val="Heading2"/>
      </w:pPr>
      <w:r>
        <w:t>C. Step 1 Deep Dive: Identify the Contract</w:t>
      </w:r>
    </w:p>
    <w:p w14:paraId="336441C1" w14:textId="77777777" w:rsidR="008A43CF" w:rsidRDefault="00000000">
      <w:pPr>
        <w:spacing w:after="120"/>
      </w:pPr>
      <w:r>
        <w:t>Step 1 is the gateway — no contract, no revenue. ASC 606 requires five criteria to be met before an arrangement qualifies as a contract: both parties have approved it and are committed; each party’s rights regarding goods or services can be identified; the payment terms can be identified; the contract has commercial substance (meaning the entity’s future cash flows will change); and it is probable the entity will collect the consideration it is entitled to.</w:t>
      </w:r>
    </w:p>
    <w:p w14:paraId="336441C2" w14:textId="77777777" w:rsidR="008A43CF" w:rsidRDefault="00000000">
      <w:pPr>
        <w:spacing w:before="200" w:after="80"/>
      </w:pPr>
      <w:r>
        <w:rPr>
          <w:rFonts w:ascii="Georgia" w:eastAsia="Georgia" w:hAnsi="Georgia" w:cs="Georgia"/>
          <w:b/>
          <w:bCs/>
          <w:color w:val="1E2761"/>
          <w:sz w:val="23"/>
          <w:szCs w:val="23"/>
        </w:rPr>
        <w:t>Contract Combinations and Modifications</w:t>
      </w:r>
    </w:p>
    <w:p w14:paraId="336441C3" w14:textId="77777777" w:rsidR="008A43CF" w:rsidRDefault="00000000">
      <w:pPr>
        <w:spacing w:after="120"/>
      </w:pPr>
      <w:r>
        <w:t>The interesting judgment calls arise at the boundaries. ASC 606 requires contracts negotiated as a package, or where the consideration in one depends on the other, to be combined and treated as a single arrangement. This prevents companies from structuring separate contracts to achieve different recognition timing on what is economically a single deal.</w:t>
      </w:r>
    </w:p>
    <w:p w14:paraId="336441C4" w14:textId="77777777" w:rsidR="008A43CF" w:rsidRDefault="00000000">
      <w:pPr>
        <w:spacing w:after="120"/>
      </w:pPr>
      <w:r>
        <w:t>Contract modifications — change orders, amendments, scope changes — require a further determination. If the modification adds distinct goods or services at their standalone selling prices, it is treated as a new, separate contract. If not, the entity must decide whether to treat the modification prospectively (allocating the remaining transaction price over remaining obligations) or as a cumulative catch-up adjustment. Boeing’s defense programs, with hundreds of modifications over multi-year programs, make this a recurring judgment call.</w:t>
      </w:r>
    </w:p>
    <w:p w14:paraId="336441C5" w14:textId="77777777" w:rsidR="008A43CF" w:rsidRDefault="00000000">
      <w:pPr>
        <w:spacing w:before="200" w:after="80"/>
      </w:pPr>
      <w:r>
        <w:rPr>
          <w:rFonts w:ascii="Georgia" w:eastAsia="Georgia" w:hAnsi="Georgia" w:cs="Georgia"/>
          <w:b/>
          <w:bCs/>
          <w:color w:val="1E2761"/>
          <w:sz w:val="23"/>
          <w:szCs w:val="23"/>
        </w:rPr>
        <w:t>Oral and Implied Contracts</w:t>
      </w:r>
    </w:p>
    <w:p w14:paraId="336441C6" w14:textId="77777777" w:rsidR="008A43CF" w:rsidRDefault="00000000">
      <w:pPr>
        <w:spacing w:after="120"/>
      </w:pPr>
      <w:r>
        <w:t>A written agreement is not required. Customary business practices, published policies, and specific oral statements can create enforceable rights that qualify as a “contract” under ASC 606. When Tesla makes public commitments about future software features for vehicles already sold, those commitments may create implied performance obligations even if they don’t appear in the purchase agreement.</w:t>
      </w:r>
    </w:p>
    <w:p w14:paraId="336441C7" w14:textId="77777777" w:rsidR="008A43CF" w:rsidRDefault="00000000">
      <w:pPr>
        <w:spacing w:before="200" w:after="80"/>
      </w:pPr>
      <w:r>
        <w:rPr>
          <w:rFonts w:ascii="Georgia" w:eastAsia="Georgia" w:hAnsi="Georgia" w:cs="Georgia"/>
          <w:b/>
          <w:bCs/>
          <w:color w:val="1E2761"/>
          <w:sz w:val="23"/>
          <w:szCs w:val="23"/>
        </w:rPr>
        <w:t>The Session 2 Connection</w:t>
      </w:r>
    </w:p>
    <w:p w14:paraId="336441C8" w14:textId="77777777" w:rsidR="008A43CF" w:rsidRDefault="00000000">
      <w:pPr>
        <w:spacing w:after="120"/>
      </w:pPr>
      <w:r>
        <w:rPr>
          <w:i/>
          <w:iCs/>
          <w:color w:val="3A6EA5"/>
        </w:rPr>
        <w:t xml:space="preserve">In Session 2, Accounting Identity LLC walked through a sequence with the city of New Haven: announcing intent to bid (item o), submitting a bid (p), making the final round (q), winning the contract (r), performing services (s), and receiving payment (t). Under ASC 606, which step created the “contract”? Not the announcement, not the bid, not making the final round — those are pre-contract activities. The contract exists at step r, when the bid was accepted and both parties committed to identifiable rights, payment terms, and a commercially substantive arrangement. Revenue recognition then depends on </w:t>
      </w:r>
      <w:r>
        <w:rPr>
          <w:i/>
          <w:iCs/>
          <w:color w:val="3A6EA5"/>
        </w:rPr>
        <w:lastRenderedPageBreak/>
        <w:t>when control transfers (step s, when services are performed). This is the same framework students already applied intuitively; ASC 606 just makes the criteria explicit.</w:t>
      </w:r>
    </w:p>
    <w:p w14:paraId="336441C9" w14:textId="77777777" w:rsidR="008A43CF" w:rsidRDefault="00000000">
      <w:pPr>
        <w:spacing w:before="200" w:after="80"/>
      </w:pPr>
      <w:r>
        <w:rPr>
          <w:rFonts w:ascii="Georgia" w:eastAsia="Georgia" w:hAnsi="Georgia" w:cs="Georgia"/>
          <w:b/>
          <w:bCs/>
          <w:color w:val="1E2761"/>
          <w:sz w:val="23"/>
          <w:szCs w:val="23"/>
        </w:rPr>
        <w:t>Step 1 in the Readings</w:t>
      </w:r>
    </w:p>
    <w:p w14:paraId="336441CA" w14:textId="77777777" w:rsidR="008A43CF" w:rsidRDefault="00000000">
      <w:pPr>
        <w:pStyle w:val="ListParagraph"/>
        <w:numPr>
          <w:ilvl w:val="0"/>
          <w:numId w:val="3"/>
        </w:numPr>
        <w:spacing w:after="60"/>
      </w:pPr>
      <w:r>
        <w:t>Boeing: Defense contract modifications are the central issue. Change orders on long-term programs must be evaluated individually — does each add distinct goods at standalone prices, or is it an adjustment to the existing contract? Different answers produce different revenue timing and cumulative catch-up amounts.</w:t>
      </w:r>
    </w:p>
    <w:p w14:paraId="336441CB" w14:textId="77777777" w:rsidR="008A43CF" w:rsidRDefault="00000000">
      <w:pPr>
        <w:pStyle w:val="ListParagraph"/>
        <w:numPr>
          <w:ilvl w:val="0"/>
          <w:numId w:val="3"/>
        </w:numPr>
        <w:spacing w:after="60"/>
      </w:pPr>
      <w:r>
        <w:t>Tesla: Implied contracts from public statements about future features. If Tesla promises FSD improvements to existing owners, it may have created an enforceable obligation even without a new written agreement.</w:t>
      </w:r>
    </w:p>
    <w:p w14:paraId="336441CC" w14:textId="77777777" w:rsidR="008A43CF" w:rsidRDefault="00000000">
      <w:pPr>
        <w:pStyle w:val="ListParagraph"/>
        <w:numPr>
          <w:ilvl w:val="0"/>
          <w:numId w:val="3"/>
        </w:numPr>
        <w:spacing w:after="60"/>
      </w:pPr>
      <w:r>
        <w:t>Dell: Contract combinations. A customer may sign separate agreements for hardware, software, and multi-year support. If negotiated as a package with interdependent pricing, ASC 606 may require treating them as a single contract.</w:t>
      </w:r>
    </w:p>
    <w:p w14:paraId="336441CD" w14:textId="77777777" w:rsidR="008A43CF" w:rsidRDefault="00000000">
      <w:pPr>
        <w:pStyle w:val="ListParagraph"/>
        <w:numPr>
          <w:ilvl w:val="0"/>
          <w:numId w:val="3"/>
        </w:numPr>
        <w:spacing w:after="60"/>
      </w:pPr>
      <w:r>
        <w:t>Moderna: Government purchase agreements with option clauses, milestone triggers, and termination rights. Each element must be evaluated: is it part of the original contract, a separate contract, or a modification?</w:t>
      </w:r>
    </w:p>
    <w:p w14:paraId="336441CE" w14:textId="77777777" w:rsidR="008A43CF" w:rsidRDefault="008A43CF">
      <w:pPr>
        <w:spacing w:after="120"/>
      </w:pPr>
    </w:p>
    <w:p w14:paraId="336441CF" w14:textId="77777777" w:rsidR="008A43CF" w:rsidRDefault="00000000">
      <w:r>
        <w:br w:type="page"/>
      </w:r>
    </w:p>
    <w:p w14:paraId="336441D0" w14:textId="77777777" w:rsidR="008A43CF" w:rsidRDefault="00000000">
      <w:pPr>
        <w:pStyle w:val="Heading2"/>
      </w:pPr>
      <w:r>
        <w:lastRenderedPageBreak/>
        <w:t>D. Step 2 Deep Dive: Identify Performance Obligations</w:t>
      </w:r>
    </w:p>
    <w:p w14:paraId="336441D1" w14:textId="77777777" w:rsidR="008A43CF" w:rsidRDefault="00000000">
      <w:pPr>
        <w:spacing w:after="120"/>
      </w:pPr>
      <w:r>
        <w:t>Step 2 determines how many “buckets” the revenue gets divided into. Each distinct good or service (or distinct bundle) promised in the contract is a separate performance obligation. The number of obligations directly determines allocation and recognition timing — more obligations means more complexity in Steps 4 and 5.</w:t>
      </w:r>
    </w:p>
    <w:p w14:paraId="336441D2" w14:textId="77777777" w:rsidR="008A43CF" w:rsidRDefault="00000000">
      <w:pPr>
        <w:spacing w:before="200" w:after="80"/>
      </w:pPr>
      <w:r>
        <w:rPr>
          <w:rFonts w:ascii="Georgia" w:eastAsia="Georgia" w:hAnsi="Georgia" w:cs="Georgia"/>
          <w:b/>
          <w:bCs/>
          <w:color w:val="1E2761"/>
          <w:sz w:val="23"/>
          <w:szCs w:val="23"/>
        </w:rPr>
        <w:t>The Two-Part Test for “Distinct”</w:t>
      </w:r>
    </w:p>
    <w:p w14:paraId="336441D3" w14:textId="77777777" w:rsidR="008A43CF" w:rsidRDefault="00000000">
      <w:pPr>
        <w:spacing w:after="120"/>
      </w:pPr>
      <w:r>
        <w:t>A promised good or service is distinct if it meets both conditions:</w:t>
      </w:r>
    </w:p>
    <w:p w14:paraId="336441D4" w14:textId="77777777" w:rsidR="008A43CF" w:rsidRDefault="00000000">
      <w:pPr>
        <w:pStyle w:val="ListParagraph"/>
        <w:numPr>
          <w:ilvl w:val="0"/>
          <w:numId w:val="2"/>
        </w:numPr>
        <w:spacing w:after="60"/>
      </w:pPr>
      <w:r>
        <w:rPr>
          <w:b/>
          <w:bCs/>
        </w:rPr>
        <w:t xml:space="preserve">Capable of being distinct. </w:t>
      </w:r>
      <w:r>
        <w:t>The customer can benefit from the good or service on its own (or together with other resources that are readily available). A standalone software license is capable of being distinct because the customer can use it. An airplane wing is not, because the customer cannot benefit from it without the rest of the aircraft.</w:t>
      </w:r>
    </w:p>
    <w:p w14:paraId="336441D5" w14:textId="77777777" w:rsidR="008A43CF" w:rsidRDefault="00000000">
      <w:pPr>
        <w:pStyle w:val="ListParagraph"/>
        <w:numPr>
          <w:ilvl w:val="0"/>
          <w:numId w:val="2"/>
        </w:numPr>
        <w:spacing w:after="60"/>
      </w:pPr>
      <w:r>
        <w:rPr>
          <w:b/>
          <w:bCs/>
        </w:rPr>
        <w:t xml:space="preserve">Separately identifiable. </w:t>
      </w:r>
      <w:r>
        <w:t>The promise to transfer the good or service is separately identifiable from other promises in the contract. This means the goods or services are not highly interdependent or interrelated. A custom integration project where the consulting, software, and hardware are deeply intertwined may fail this test even though each component is individually capable of being distinct.</w:t>
      </w:r>
    </w:p>
    <w:p w14:paraId="336441D6" w14:textId="77777777" w:rsidR="008A43CF" w:rsidRDefault="00000000">
      <w:pPr>
        <w:spacing w:after="120"/>
      </w:pPr>
      <w:r>
        <w:t>Both conditions must be met. If either fails, the good or service is combined with other promises until a distinct bundle emerges.</w:t>
      </w:r>
    </w:p>
    <w:p w14:paraId="336441D7" w14:textId="77777777" w:rsidR="008A43CF" w:rsidRDefault="00000000">
      <w:pPr>
        <w:spacing w:before="200" w:after="80"/>
      </w:pPr>
      <w:r>
        <w:rPr>
          <w:rFonts w:ascii="Georgia" w:eastAsia="Georgia" w:hAnsi="Georgia" w:cs="Georgia"/>
          <w:b/>
          <w:bCs/>
          <w:color w:val="1E2761"/>
          <w:sz w:val="23"/>
          <w:szCs w:val="23"/>
        </w:rPr>
        <w:t>Why It Matters: The Spectrum</w:t>
      </w:r>
    </w:p>
    <w:p w14:paraId="336441D8" w14:textId="77777777" w:rsidR="008A43CF" w:rsidRDefault="00000000">
      <w:pPr>
        <w:spacing w:after="120"/>
      </w:pPr>
      <w:r>
        <w:t>At one extreme, a custom construction project is a single performance obligation — the components are highly interdependent and the customer can’t benefit from the foundation without the building. All revenue is recognized together (typically over time). At the other extreme, a Tesla vehicle sale may contain five or more distinct obligations, each with its own recognition timing and standalone selling price. The number of obligations determines the shape of the income statement.</w:t>
      </w:r>
    </w:p>
    <w:p w14:paraId="336441D9" w14:textId="77777777" w:rsidR="008A43CF" w:rsidRDefault="00000000">
      <w:pPr>
        <w:spacing w:before="200" w:after="80"/>
      </w:pPr>
      <w:r>
        <w:rPr>
          <w:rFonts w:ascii="Georgia" w:eastAsia="Georgia" w:hAnsi="Georgia" w:cs="Georgia"/>
          <w:b/>
          <w:bCs/>
          <w:color w:val="1E2761"/>
          <w:sz w:val="23"/>
          <w:szCs w:val="23"/>
        </w:rPr>
        <w:t>Step 2 in the Readings</w:t>
      </w:r>
    </w:p>
    <w:p w14:paraId="336441DA" w14:textId="77777777" w:rsidR="008A43CF" w:rsidRDefault="00000000">
      <w:pPr>
        <w:pStyle w:val="ListParagraph"/>
        <w:numPr>
          <w:ilvl w:val="0"/>
          <w:numId w:val="3"/>
        </w:numPr>
        <w:spacing w:after="60"/>
      </w:pPr>
      <w:r>
        <w:t>Tesla: The poster child for multiple obligations. Vehicle, FSD, connectivity, Supercharging, and software updates are each distinct — the customer can benefit from the car without FSD, and each service is separately identifiable. Result: $3.5 billion in deferred revenue from obligations not yet satisfied.</w:t>
      </w:r>
    </w:p>
    <w:p w14:paraId="336441DB" w14:textId="77777777" w:rsidR="008A43CF" w:rsidRDefault="00000000">
      <w:pPr>
        <w:pStyle w:val="ListParagraph"/>
        <w:numPr>
          <w:ilvl w:val="0"/>
          <w:numId w:val="3"/>
        </w:numPr>
        <w:spacing w:after="60"/>
      </w:pPr>
      <w:r>
        <w:t>Dell: Hardware, software licenses, and multi-year ProSupport contracts. Each is distinct, with different recognition timing (point-in-time for hardware, over-time for support). The number of obligations determines how much revenue Dell recognizes on Day 1 versus over three years.</w:t>
      </w:r>
    </w:p>
    <w:p w14:paraId="336441DC" w14:textId="77777777" w:rsidR="008A43CF" w:rsidRDefault="00000000">
      <w:pPr>
        <w:pStyle w:val="ListParagraph"/>
        <w:numPr>
          <w:ilvl w:val="0"/>
          <w:numId w:val="3"/>
        </w:numPr>
        <w:spacing w:after="60"/>
      </w:pPr>
      <w:r>
        <w:t>Boeing: A custom military aircraft program is typically a single obligation — the airframe, avionics, and integration are highly interdependent. The customer can’t benefit from the wing alone. All revenue recognized over time on a single cost-to-cost measure.</w:t>
      </w:r>
    </w:p>
    <w:p w14:paraId="336441DD" w14:textId="77777777" w:rsidR="008A43CF" w:rsidRDefault="00000000">
      <w:pPr>
        <w:pStyle w:val="ListParagraph"/>
        <w:numPr>
          <w:ilvl w:val="0"/>
          <w:numId w:val="3"/>
        </w:numPr>
        <w:spacing w:after="60"/>
      </w:pPr>
      <w:r>
        <w:t>Moderna: Government vaccine contracts may include committed doses (one obligation), options for additional doses at favorable prices (a “material right” = separate obligation), and bill-and-hold storage services. Identifying each obligation drives when revenue is recognized.</w:t>
      </w:r>
    </w:p>
    <w:p w14:paraId="336441DE" w14:textId="77777777" w:rsidR="008A43CF" w:rsidRDefault="008A43CF">
      <w:pPr>
        <w:spacing w:after="120"/>
      </w:pPr>
    </w:p>
    <w:p w14:paraId="336441DF" w14:textId="77777777" w:rsidR="008A43CF" w:rsidRDefault="00000000">
      <w:pPr>
        <w:pStyle w:val="Heading2"/>
      </w:pPr>
      <w:r>
        <w:t>E. Step 3 Deep Dive: Variable Consideration</w:t>
      </w:r>
    </w:p>
    <w:p w14:paraId="336441E0" w14:textId="77777777" w:rsidR="008A43CF" w:rsidRDefault="00000000">
      <w:pPr>
        <w:spacing w:after="120"/>
      </w:pPr>
      <w:r>
        <w:lastRenderedPageBreak/>
        <w:t>Step 3 — determine the transaction price — is where much of the real judgment lives. Whenever the amount a company expects to receive is not fixed, ASC 606 calls it variable consideration. This includes discounts, rebates, refunds, credits, price concessions, incentives, performance bonuses, penalties, and contingent payments. The standard provides two estimation methods and a constraint.</w:t>
      </w:r>
    </w:p>
    <w:p w14:paraId="336441E1" w14:textId="77777777" w:rsidR="008A43CF" w:rsidRDefault="00000000">
      <w:pPr>
        <w:spacing w:before="200" w:after="80"/>
      </w:pPr>
      <w:r>
        <w:rPr>
          <w:rFonts w:ascii="Georgia" w:eastAsia="Georgia" w:hAnsi="Georgia" w:cs="Georgia"/>
          <w:b/>
          <w:bCs/>
          <w:color w:val="1E2761"/>
          <w:sz w:val="23"/>
          <w:szCs w:val="23"/>
        </w:rPr>
        <w:t>The Problem</w:t>
      </w:r>
    </w:p>
    <w:p w14:paraId="336441E2" w14:textId="77777777" w:rsidR="008A43CF" w:rsidRDefault="00000000">
      <w:pPr>
        <w:spacing w:after="120"/>
      </w:pPr>
      <w:r>
        <w:t>Under the old criteria, a company that was 'reasonably sure of collection' could book the full stated price — even if history showed that a significant portion would be returned, discounted, or forgiven. The phrase 'reasonably sure' invited optimism: if you could argue collection was likely, you could recognize the full amount. The result was the Bristol-Myers pattern — shipping $1.5 billion in excess product while recording full revenue on the theory that the wholesalers 'owed' it.</w:t>
      </w:r>
    </w:p>
    <w:p w14:paraId="336441E3" w14:textId="77777777" w:rsidR="008A43CF" w:rsidRDefault="00000000">
      <w:pPr>
        <w:spacing w:before="200" w:after="80"/>
      </w:pPr>
      <w:r>
        <w:rPr>
          <w:rFonts w:ascii="Georgia" w:eastAsia="Georgia" w:hAnsi="Georgia" w:cs="Georgia"/>
          <w:b/>
          <w:bCs/>
          <w:color w:val="1E2761"/>
          <w:sz w:val="23"/>
          <w:szCs w:val="23"/>
        </w:rPr>
        <w:t>Two Estimation Methods</w:t>
      </w:r>
    </w:p>
    <w:p w14:paraId="336441E4" w14:textId="77777777" w:rsidR="008A43CF" w:rsidRDefault="00000000">
      <w:pPr>
        <w:spacing w:after="120"/>
      </w:pPr>
      <w:r>
        <w:rPr>
          <w:b/>
          <w:bCs/>
          <w:color w:val="1E2761"/>
        </w:rPr>
        <w:t xml:space="preserve">Expected value method. </w:t>
      </w:r>
      <w:r>
        <w:t>The probability-weighted sum of all possible outcomes. Best when there are many possible outcomes — for example, a company that sells 10,000 units subject to volume rebates at different tiers. You multiply each possible rebate level by the probability of reaching it and sum the results. This is the actuarial approach.</w:t>
      </w:r>
    </w:p>
    <w:p w14:paraId="336441E5" w14:textId="77777777" w:rsidR="008A43CF" w:rsidRDefault="00000000">
      <w:pPr>
        <w:spacing w:after="120"/>
      </w:pPr>
      <w:r>
        <w:rPr>
          <w:b/>
          <w:bCs/>
          <w:color w:val="1E2761"/>
        </w:rPr>
        <w:t xml:space="preserve">Most likely amount method. </w:t>
      </w:r>
      <w:r>
        <w:t>The single most probable outcome in a range. Best when there are only two possible results — for example, a milestone payment that is either earned (FDA approval) or not. You estimate the most likely of the two outcomes. This is the binary approach.</w:t>
      </w:r>
    </w:p>
    <w:p w14:paraId="336441E6" w14:textId="77777777" w:rsidR="008A43CF" w:rsidRDefault="00000000">
      <w:pPr>
        <w:spacing w:after="120"/>
      </w:pPr>
      <w:r>
        <w:t>The company chooses whichever method better predicts the amount it will ultimately be entitled to. Once chosen, the method should be applied consistently to similar contracts.</w:t>
      </w:r>
    </w:p>
    <w:p w14:paraId="336441E7" w14:textId="77777777" w:rsidR="008A43CF" w:rsidRDefault="00000000">
      <w:pPr>
        <w:spacing w:before="200" w:after="80"/>
      </w:pPr>
      <w:r>
        <w:rPr>
          <w:rFonts w:ascii="Georgia" w:eastAsia="Georgia" w:hAnsi="Georgia" w:cs="Georgia"/>
          <w:b/>
          <w:bCs/>
          <w:color w:val="1E2761"/>
          <w:sz w:val="23"/>
          <w:szCs w:val="23"/>
        </w:rPr>
        <w:t>The Constraint</w:t>
      </w:r>
    </w:p>
    <w:p w14:paraId="336441E8" w14:textId="77777777" w:rsidR="008A43CF" w:rsidRDefault="00000000">
      <w:pPr>
        <w:spacing w:after="120"/>
      </w:pPr>
      <w:r>
        <w:t>Here is the critical guardrail: even after estimating variable consideration, the company may only include the estimate in the transaction price to the extent that it is 'highly probable' that a significant reversal of cumulative revenue will NOT occur when the uncertainty is resolved. This is the variable consideration constraint (ASC 606-32-11).</w:t>
      </w:r>
    </w:p>
    <w:p w14:paraId="336441E9" w14:textId="77777777" w:rsidR="008A43CF" w:rsidRDefault="00000000">
      <w:pPr>
        <w:spacing w:after="120"/>
      </w:pPr>
      <w:r>
        <w:t>In plain language: you can only count revenue you are very confident you will not have to take back. The standard lists factors that increase the risk of reversal:</w:t>
      </w:r>
    </w:p>
    <w:p w14:paraId="336441EA" w14:textId="77777777" w:rsidR="008A43CF" w:rsidRDefault="00000000">
      <w:pPr>
        <w:pStyle w:val="ListParagraph"/>
        <w:numPr>
          <w:ilvl w:val="0"/>
          <w:numId w:val="3"/>
        </w:numPr>
        <w:spacing w:after="60"/>
      </w:pPr>
      <w:r>
        <w:t>The amount is highly susceptible to factors outside the entity's influence (market prices, weather, regulatory decisions).</w:t>
      </w:r>
    </w:p>
    <w:p w14:paraId="336441EB" w14:textId="77777777" w:rsidR="008A43CF" w:rsidRDefault="00000000">
      <w:pPr>
        <w:pStyle w:val="ListParagraph"/>
        <w:numPr>
          <w:ilvl w:val="0"/>
          <w:numId w:val="3"/>
        </w:numPr>
        <w:spacing w:after="60"/>
      </w:pPr>
      <w:r>
        <w:t>The uncertainty is not expected to be resolved for a long time.</w:t>
      </w:r>
    </w:p>
    <w:p w14:paraId="336441EC" w14:textId="77777777" w:rsidR="008A43CF" w:rsidRDefault="00000000">
      <w:pPr>
        <w:pStyle w:val="ListParagraph"/>
        <w:numPr>
          <w:ilvl w:val="0"/>
          <w:numId w:val="3"/>
        </w:numPr>
        <w:spacing w:after="60"/>
      </w:pPr>
      <w:r>
        <w:t>The entity has limited experience with similar contracts.</w:t>
      </w:r>
    </w:p>
    <w:p w14:paraId="336441ED" w14:textId="77777777" w:rsidR="008A43CF" w:rsidRDefault="00000000">
      <w:pPr>
        <w:pStyle w:val="ListParagraph"/>
        <w:numPr>
          <w:ilvl w:val="0"/>
          <w:numId w:val="3"/>
        </w:numPr>
        <w:spacing w:after="60"/>
      </w:pPr>
      <w:r>
        <w:t>The entity has a practice of offering broad price concessions or changing payment terms.</w:t>
      </w:r>
    </w:p>
    <w:p w14:paraId="336441EE" w14:textId="77777777" w:rsidR="008A43CF" w:rsidRDefault="00000000">
      <w:pPr>
        <w:pStyle w:val="ListParagraph"/>
        <w:numPr>
          <w:ilvl w:val="0"/>
          <w:numId w:val="3"/>
        </w:numPr>
        <w:spacing w:after="60"/>
      </w:pPr>
      <w:r>
        <w:t>The contract has a large number and broad range of possible consideration amounts.</w:t>
      </w:r>
    </w:p>
    <w:p w14:paraId="336441EF" w14:textId="77777777" w:rsidR="008A43CF" w:rsidRDefault="00000000">
      <w:pPr>
        <w:spacing w:after="120"/>
      </w:pPr>
      <w:r>
        <w:t>This is the direct replacement for 'reasonably sure of collection.' Instead of a vague test, ASC 606 requires a structured estimate with a constraint that defaults to conservative recognition. The burden is on the company to demonstrate that including variable consideration will not lead to a significant reversal.</w:t>
      </w:r>
    </w:p>
    <w:p w14:paraId="336441F0" w14:textId="77777777" w:rsidR="008A43CF" w:rsidRDefault="00000000">
      <w:pPr>
        <w:spacing w:before="200" w:after="80"/>
      </w:pPr>
      <w:r>
        <w:rPr>
          <w:rFonts w:ascii="Georgia" w:eastAsia="Georgia" w:hAnsi="Georgia" w:cs="Georgia"/>
          <w:b/>
          <w:bCs/>
          <w:color w:val="1E2761"/>
          <w:sz w:val="23"/>
          <w:szCs w:val="23"/>
        </w:rPr>
        <w:t>Variable Consideration in the Readings</w:t>
      </w:r>
    </w:p>
    <w:p w14:paraId="336441F1" w14:textId="77777777" w:rsidR="008A43CF" w:rsidRDefault="00000000">
      <w:pPr>
        <w:spacing w:after="120"/>
      </w:pPr>
      <w:r>
        <w:t>Each assigned company confronts variable consideration differently:</w:t>
      </w:r>
    </w:p>
    <w:p w14:paraId="336441F2" w14:textId="77777777" w:rsidR="008A43CF" w:rsidRDefault="00000000">
      <w:pPr>
        <w:pStyle w:val="ListParagraph"/>
        <w:numPr>
          <w:ilvl w:val="0"/>
          <w:numId w:val="3"/>
        </w:numPr>
        <w:spacing w:after="60"/>
      </w:pPr>
      <w:r>
        <w:lastRenderedPageBreak/>
        <w:t>Uber: Driver incentives are variable consideration that reduces the transaction price. Because drivers are the customer, incentive payments lower Uber's revenue dollar-for-dollar. The expected value method applies because incentive structures affect thousands of transactions with different payment levels.</w:t>
      </w:r>
    </w:p>
    <w:p w14:paraId="336441F3" w14:textId="77777777" w:rsidR="008A43CF" w:rsidRDefault="00000000">
      <w:pPr>
        <w:pStyle w:val="ListParagraph"/>
        <w:numPr>
          <w:ilvl w:val="0"/>
          <w:numId w:val="3"/>
        </w:numPr>
        <w:spacing w:after="60"/>
      </w:pPr>
      <w:r>
        <w:t>Perrigo: Returns, chargebacks, and promotional rebates are all variable consideration. Perrigo estimates these at contract inception using the expected value method (high volume, many possible outcomes) and constrains the estimate. This is the Bristol-Myers problem handled properly.</w:t>
      </w:r>
    </w:p>
    <w:p w14:paraId="336441F4" w14:textId="77777777" w:rsidR="008A43CF" w:rsidRDefault="00000000">
      <w:pPr>
        <w:pStyle w:val="ListParagraph"/>
        <w:numPr>
          <w:ilvl w:val="0"/>
          <w:numId w:val="3"/>
        </w:numPr>
        <w:spacing w:after="60"/>
      </w:pPr>
      <w:r>
        <w:t>Moderna: The $300 million FDA-approval milestone payment is a binary outcome — paid or not. The most likely amount method applies. Before approval, Moderna constrained the entire amount (recognized nothing) because FDA approval was not 'highly probable.'</w:t>
      </w:r>
    </w:p>
    <w:p w14:paraId="336441F5" w14:textId="77777777" w:rsidR="008A43CF" w:rsidRDefault="00000000">
      <w:pPr>
        <w:pStyle w:val="ListParagraph"/>
        <w:numPr>
          <w:ilvl w:val="0"/>
          <w:numId w:val="3"/>
        </w:numPr>
        <w:spacing w:after="60"/>
      </w:pPr>
      <w:r>
        <w:t>Boeing: Estimated program margins on long-term defense contracts are variable consideration. Boeing uses cost-to-cost methods where small changes in estimated completion costs produce enormous swings in recognized revenue — the $2.9 billion catch-up adjustment in 2023 shows what happens when estimates change.</w:t>
      </w:r>
    </w:p>
    <w:p w14:paraId="336441F6" w14:textId="77777777" w:rsidR="008A43CF" w:rsidRDefault="008A43CF">
      <w:pPr>
        <w:spacing w:after="120"/>
      </w:pPr>
    </w:p>
    <w:p w14:paraId="336441F7" w14:textId="77777777" w:rsidR="008A43CF" w:rsidRDefault="00000000">
      <w:r>
        <w:br w:type="page"/>
      </w:r>
    </w:p>
    <w:p w14:paraId="336441F8" w14:textId="77777777" w:rsidR="008A43CF" w:rsidRDefault="00000000">
      <w:pPr>
        <w:pStyle w:val="Heading2"/>
      </w:pPr>
      <w:r>
        <w:lastRenderedPageBreak/>
        <w:t>F. Step 4 Deep Dive: Allocate the Transaction Price</w:t>
      </w:r>
    </w:p>
    <w:p w14:paraId="336441F9" w14:textId="77777777" w:rsidR="008A43CF" w:rsidRDefault="00000000">
      <w:pPr>
        <w:spacing w:after="120"/>
      </w:pPr>
      <w:r>
        <w:t>Once a company has identified multiple performance obligations (Step 2) and determined the total transaction price (Step 3), it must divide the dollars among the obligations. This is allocation, and it is high-stakes because it determines when revenue is recognized — more allocated to an obligation satisfied at delivery means more revenue now; more allocated to an over-time obligation means deferred revenue.</w:t>
      </w:r>
    </w:p>
    <w:p w14:paraId="336441FA" w14:textId="77777777" w:rsidR="008A43CF" w:rsidRDefault="00000000">
      <w:pPr>
        <w:spacing w:before="200" w:after="80"/>
      </w:pPr>
      <w:r>
        <w:rPr>
          <w:rFonts w:ascii="Georgia" w:eastAsia="Georgia" w:hAnsi="Georgia" w:cs="Georgia"/>
          <w:b/>
          <w:bCs/>
          <w:color w:val="1E2761"/>
          <w:sz w:val="23"/>
          <w:szCs w:val="23"/>
        </w:rPr>
        <w:t>The Default Rule: Relative Standalone Selling Prices</w:t>
      </w:r>
    </w:p>
    <w:p w14:paraId="336441FB" w14:textId="77777777" w:rsidR="008A43CF" w:rsidRDefault="00000000">
      <w:pPr>
        <w:spacing w:after="120"/>
      </w:pPr>
      <w:r>
        <w:t>ASC 606’s default is to allocate the transaction price in proportion to the standalone selling price of each performance obligation. The standalone selling price is what the entity would charge for the good or service if it sold it separately to a similar customer in similar circumstances. When observable standalone prices exist — for example, a company that regularly sells the same support contract as an add-on — use them directly.</w:t>
      </w:r>
    </w:p>
    <w:p w14:paraId="336441FC" w14:textId="77777777" w:rsidR="008A43CF" w:rsidRDefault="00000000">
      <w:pPr>
        <w:spacing w:before="200" w:after="80"/>
      </w:pPr>
      <w:r>
        <w:rPr>
          <w:rFonts w:ascii="Georgia" w:eastAsia="Georgia" w:hAnsi="Georgia" w:cs="Georgia"/>
          <w:b/>
          <w:bCs/>
          <w:color w:val="1E2761"/>
          <w:sz w:val="23"/>
          <w:szCs w:val="23"/>
        </w:rPr>
        <w:t>When Observable Prices Don’t Exist</w:t>
      </w:r>
    </w:p>
    <w:p w14:paraId="336441FD" w14:textId="77777777" w:rsidR="008A43CF" w:rsidRDefault="00000000">
      <w:pPr>
        <w:spacing w:after="120"/>
      </w:pPr>
      <w:r>
        <w:t>Many performance obligations are never sold separately. Tesla does not sell FSD in a way that produces a clean market price. ASC 606 provides three estimation approaches:</w:t>
      </w:r>
    </w:p>
    <w:p w14:paraId="336441FE" w14:textId="77777777" w:rsidR="008A43CF" w:rsidRDefault="00000000">
      <w:pPr>
        <w:spacing w:after="120"/>
      </w:pPr>
      <w:r>
        <w:rPr>
          <w:b/>
          <w:bCs/>
          <w:color w:val="1E2761"/>
        </w:rPr>
        <w:t xml:space="preserve">Adjusted market assessment approach. </w:t>
      </w:r>
      <w:r>
        <w:t>Estimate what the market would pay for the good or service. Look at competitor pricing, market conditions, and entity-specific factors. This is the “what would a willing buyer pay?” approach.</w:t>
      </w:r>
    </w:p>
    <w:p w14:paraId="336441FF" w14:textId="77777777" w:rsidR="008A43CF" w:rsidRDefault="00000000">
      <w:pPr>
        <w:spacing w:after="120"/>
      </w:pPr>
      <w:r>
        <w:rPr>
          <w:b/>
          <w:bCs/>
          <w:color w:val="1E2761"/>
        </w:rPr>
        <w:t xml:space="preserve">Expected cost plus margin approach. </w:t>
      </w:r>
      <w:r>
        <w:t>Forecast the costs to satisfy the obligation, then add an appropriate margin. Useful when costs are estimable but market prices are not — for example, a custom integration service.</w:t>
      </w:r>
    </w:p>
    <w:p w14:paraId="33644200" w14:textId="77777777" w:rsidR="008A43CF" w:rsidRDefault="00000000">
      <w:pPr>
        <w:spacing w:after="120"/>
      </w:pPr>
      <w:r>
        <w:rPr>
          <w:b/>
          <w:bCs/>
          <w:color w:val="1E2761"/>
        </w:rPr>
        <w:t xml:space="preserve">Residual approach. </w:t>
      </w:r>
      <w:r>
        <w:t>Total transaction price minus the observable standalone prices of other obligations. This is permitted only when the selling price of a specific obligation is highly variable or uncertain. It’s the last resort, essentially saying: “we know what the other pieces are worth, so the remainder must be this one.”</w:t>
      </w:r>
    </w:p>
    <w:p w14:paraId="33644201" w14:textId="77777777" w:rsidR="008A43CF" w:rsidRDefault="00000000">
      <w:pPr>
        <w:spacing w:before="200" w:after="80"/>
      </w:pPr>
      <w:r>
        <w:rPr>
          <w:rFonts w:ascii="Georgia" w:eastAsia="Georgia" w:hAnsi="Georgia" w:cs="Georgia"/>
          <w:b/>
          <w:bCs/>
          <w:color w:val="1E2761"/>
          <w:sz w:val="23"/>
          <w:szCs w:val="23"/>
        </w:rPr>
        <w:t>Discounts and Allocation</w:t>
      </w:r>
    </w:p>
    <w:p w14:paraId="33644202" w14:textId="77777777" w:rsidR="008A43CF" w:rsidRDefault="00000000">
      <w:pPr>
        <w:spacing w:after="120"/>
      </w:pPr>
      <w:r>
        <w:t>If a customer gets a volume discount on a bundle, the discount is allocated proportionally across all obligations unless the entity has observable evidence that the discount relates to specific obligations. For example, if Dell regularly discounts hardware to win long-term support contracts, there may be evidence that the discount should attach to the hardware specifically rather than being spread across the bundle.</w:t>
      </w:r>
    </w:p>
    <w:p w14:paraId="33644203" w14:textId="77777777" w:rsidR="008A43CF" w:rsidRDefault="00000000">
      <w:pPr>
        <w:spacing w:before="200" w:after="80"/>
      </w:pPr>
      <w:r>
        <w:rPr>
          <w:rFonts w:ascii="Georgia" w:eastAsia="Georgia" w:hAnsi="Georgia" w:cs="Georgia"/>
          <w:b/>
          <w:bCs/>
          <w:color w:val="1E2761"/>
          <w:sz w:val="23"/>
          <w:szCs w:val="23"/>
        </w:rPr>
        <w:t>Step 4 in the Readings</w:t>
      </w:r>
    </w:p>
    <w:p w14:paraId="33644204" w14:textId="77777777" w:rsidR="008A43CF" w:rsidRDefault="00000000">
      <w:pPr>
        <w:pStyle w:val="ListParagraph"/>
        <w:numPr>
          <w:ilvl w:val="0"/>
          <w:numId w:val="3"/>
        </w:numPr>
        <w:spacing w:after="60"/>
      </w:pPr>
      <w:r>
        <w:t>Tesla: The central allocation question. FSD is rarely sold separately and its features are still evolving. Tesla must estimate a standalone selling price to allocate between the car (recognized at delivery) and FSD (recognized over time). Different estimates shift billions between current revenue and deferred revenue. The residual approach may apply.</w:t>
      </w:r>
    </w:p>
    <w:p w14:paraId="33644205" w14:textId="77777777" w:rsidR="008A43CF" w:rsidRDefault="00000000">
      <w:pPr>
        <w:pStyle w:val="ListParagraph"/>
        <w:numPr>
          <w:ilvl w:val="0"/>
          <w:numId w:val="3"/>
        </w:numPr>
        <w:spacing w:after="60"/>
      </w:pPr>
      <w:r>
        <w:t>Dell: Package discounts on hardware + multi-year ProSupport bundles must be allocated. By default, the discount spreads proportionally. But if Dell consistently discounts hardware to anchor support contracts, the evidence may support hardware-specific allocation.</w:t>
      </w:r>
    </w:p>
    <w:p w14:paraId="33644206" w14:textId="77777777" w:rsidR="008A43CF" w:rsidRDefault="00000000">
      <w:pPr>
        <w:pStyle w:val="ListParagraph"/>
        <w:numPr>
          <w:ilvl w:val="0"/>
          <w:numId w:val="3"/>
        </w:numPr>
        <w:spacing w:after="60"/>
      </w:pPr>
      <w:r>
        <w:t>Moderna: If a purchase option is a material right (a discount not available to the general market), the transaction price must be allocated to it. This reduces the amount allocated to initial doses and defers revenue until the option is exercised or expires.</w:t>
      </w:r>
    </w:p>
    <w:p w14:paraId="33644207" w14:textId="77777777" w:rsidR="008A43CF" w:rsidRDefault="00000000">
      <w:pPr>
        <w:pStyle w:val="ListParagraph"/>
        <w:numPr>
          <w:ilvl w:val="0"/>
          <w:numId w:val="3"/>
        </w:numPr>
        <w:spacing w:after="60"/>
      </w:pPr>
      <w:r>
        <w:lastRenderedPageBreak/>
        <w:t>Uber: Allocation is a non-issue because Uber’s platform fee per trip is a single performance obligation with one price. No allocation needed. This contrast highlights how the number of obligations identified in Step 2 determines the complexity of Step 4.</w:t>
      </w:r>
    </w:p>
    <w:p w14:paraId="33644208" w14:textId="77777777" w:rsidR="008A43CF" w:rsidRDefault="008A43CF">
      <w:pPr>
        <w:spacing w:after="120"/>
      </w:pPr>
    </w:p>
    <w:p w14:paraId="33644209" w14:textId="77777777" w:rsidR="008A43CF" w:rsidRDefault="00000000">
      <w:pPr>
        <w:pStyle w:val="Heading2"/>
      </w:pPr>
      <w:r>
        <w:t>G. Step 5 Deep Dive: Recognize Revenue</w:t>
      </w:r>
    </w:p>
    <w:p w14:paraId="3364420A" w14:textId="77777777" w:rsidR="008A43CF" w:rsidRDefault="00000000">
      <w:pPr>
        <w:spacing w:after="120"/>
      </w:pPr>
      <w:r>
        <w:t>Step 5 is the payoff — when does revenue actually hit the income statement? The answer depends on whether the customer obtains control over time or at a point in time. “Control” under ASC 606 means the ability to direct the use of, and obtain substantially all of the remaining benefits from, the asset.</w:t>
      </w:r>
    </w:p>
    <w:p w14:paraId="3364420B" w14:textId="77777777" w:rsidR="008A43CF" w:rsidRDefault="00000000">
      <w:pPr>
        <w:spacing w:before="200" w:after="80"/>
      </w:pPr>
      <w:r>
        <w:rPr>
          <w:rFonts w:ascii="Georgia" w:eastAsia="Georgia" w:hAnsi="Georgia" w:cs="Georgia"/>
          <w:b/>
          <w:bCs/>
          <w:color w:val="1E2761"/>
          <w:sz w:val="23"/>
          <w:szCs w:val="23"/>
        </w:rPr>
        <w:t>Over-Time Recognition: Three Criteria</w:t>
      </w:r>
    </w:p>
    <w:p w14:paraId="3364420C" w14:textId="77777777" w:rsidR="008A43CF" w:rsidRDefault="00000000">
      <w:pPr>
        <w:spacing w:after="120"/>
      </w:pPr>
      <w:r>
        <w:t>Revenue is recognized over time if any one of three criteria is met:</w:t>
      </w:r>
    </w:p>
    <w:p w14:paraId="3364420D" w14:textId="77777777" w:rsidR="008A43CF" w:rsidRDefault="00000000">
      <w:pPr>
        <w:pStyle w:val="ListParagraph"/>
        <w:numPr>
          <w:ilvl w:val="0"/>
          <w:numId w:val="2"/>
        </w:numPr>
        <w:spacing w:after="60"/>
      </w:pPr>
      <w:r>
        <w:rPr>
          <w:b/>
          <w:bCs/>
        </w:rPr>
        <w:t xml:space="preserve">Simultaneous receipt and consumption. </w:t>
      </w:r>
      <w:r>
        <w:t>The customer simultaneously receives and consumes the benefits of the entity’s performance as it occurs. This applies to routine services — cleaning, monthly SaaS access, each Uber ride. There is nothing left for the entity to “deliver” because the customer is consuming the service as it’s performed.</w:t>
      </w:r>
    </w:p>
    <w:p w14:paraId="3364420E" w14:textId="77777777" w:rsidR="008A43CF" w:rsidRDefault="00000000">
      <w:pPr>
        <w:pStyle w:val="ListParagraph"/>
        <w:numPr>
          <w:ilvl w:val="0"/>
          <w:numId w:val="2"/>
        </w:numPr>
        <w:spacing w:after="60"/>
      </w:pPr>
      <w:r>
        <w:rPr>
          <w:b/>
          <w:bCs/>
        </w:rPr>
        <w:t xml:space="preserve">Customer controls work in progress. </w:t>
      </w:r>
      <w:r>
        <w:t>The entity’s performance creates or enhances an asset that the customer controls. Building on the customer’s land is the classic example — the customer owns the partially completed building at every stage.</w:t>
      </w:r>
    </w:p>
    <w:p w14:paraId="3364420F" w14:textId="77777777" w:rsidR="008A43CF" w:rsidRDefault="00000000">
      <w:pPr>
        <w:pStyle w:val="ListParagraph"/>
        <w:numPr>
          <w:ilvl w:val="0"/>
          <w:numId w:val="2"/>
        </w:numPr>
        <w:spacing w:after="60"/>
      </w:pPr>
      <w:r>
        <w:rPr>
          <w:b/>
          <w:bCs/>
        </w:rPr>
        <w:t xml:space="preserve">No alternative use plus right to payment. </w:t>
      </w:r>
      <w:r>
        <w:t>The asset being created has no alternative use to the entity (it can’t redirect it to another customer), and the entity has an enforceable right to payment for performance completed to date. This is the criterion that captures Boeing’s defense contracts: the military aircraft are built to government specifications (no alternative use), and termination-for-convenience clauses give Boeing the right to payment for work done.</w:t>
      </w:r>
    </w:p>
    <w:p w14:paraId="33644210" w14:textId="77777777" w:rsidR="008A43CF" w:rsidRDefault="00000000">
      <w:pPr>
        <w:spacing w:after="120"/>
      </w:pPr>
      <w:r>
        <w:t>If none of these three criteria is met, the performance obligation is satisfied at a point in time.</w:t>
      </w:r>
    </w:p>
    <w:p w14:paraId="33644211" w14:textId="77777777" w:rsidR="008A43CF" w:rsidRDefault="00000000">
      <w:pPr>
        <w:spacing w:before="200" w:after="80"/>
      </w:pPr>
      <w:r>
        <w:rPr>
          <w:rFonts w:ascii="Georgia" w:eastAsia="Georgia" w:hAnsi="Georgia" w:cs="Georgia"/>
          <w:b/>
          <w:bCs/>
          <w:color w:val="1E2761"/>
          <w:sz w:val="23"/>
          <w:szCs w:val="23"/>
        </w:rPr>
        <w:t>Point-in-Time Recognition</w:t>
      </w:r>
    </w:p>
    <w:p w14:paraId="33644212" w14:textId="77777777" w:rsidR="008A43CF" w:rsidRDefault="00000000">
      <w:pPr>
        <w:spacing w:after="120"/>
      </w:pPr>
      <w:r>
        <w:t>When control transfers at a point in time, ASC 606 provides indicators: physical possession transfers, the entity has a present right to payment, legal title passes, risks and rewards of ownership transfer, or the customer has accepted the asset. For most product sales — Perrigo shipping OTC health products to retailers — this is straightforward. The goods ship, the retailer takes possession, and revenue is recognized.</w:t>
      </w:r>
    </w:p>
    <w:p w14:paraId="33644213" w14:textId="77777777" w:rsidR="008A43CF" w:rsidRDefault="00000000">
      <w:pPr>
        <w:spacing w:before="200" w:after="80"/>
      </w:pPr>
      <w:r>
        <w:rPr>
          <w:rFonts w:ascii="Georgia" w:eastAsia="Georgia" w:hAnsi="Georgia" w:cs="Georgia"/>
          <w:b/>
          <w:bCs/>
          <w:color w:val="1E2761"/>
          <w:sz w:val="23"/>
          <w:szCs w:val="23"/>
        </w:rPr>
        <w:t>Measuring Progress Over Time</w:t>
      </w:r>
    </w:p>
    <w:p w14:paraId="33644214" w14:textId="77777777" w:rsidR="008A43CF" w:rsidRDefault="00000000">
      <w:pPr>
        <w:spacing w:after="120"/>
      </w:pPr>
      <w:r>
        <w:t>For obligations satisfied over time, the entity must select a method to measure progress toward complete satisfaction:</w:t>
      </w:r>
    </w:p>
    <w:p w14:paraId="33644215" w14:textId="77777777" w:rsidR="008A43CF" w:rsidRDefault="00000000">
      <w:pPr>
        <w:spacing w:after="120"/>
      </w:pPr>
      <w:r>
        <w:rPr>
          <w:b/>
          <w:bCs/>
          <w:color w:val="1E2761"/>
        </w:rPr>
        <w:t xml:space="preserve">Input methods. </w:t>
      </w:r>
      <w:r>
        <w:t>Measure progress based on the entity’s efforts or inputs (costs incurred, labor hours, machine hours). Boeing’s cost-to-cost method is the most common: percentage complete equals costs incurred to date divided by total estimated costs. The risk: small changes in estimated total costs produce large swings in recognized revenue. Boeing’s $2.9 billion cumulative catch-up in 2023 demonstrates this.</w:t>
      </w:r>
    </w:p>
    <w:p w14:paraId="33644216" w14:textId="77777777" w:rsidR="008A43CF" w:rsidRDefault="00000000">
      <w:pPr>
        <w:spacing w:after="120"/>
      </w:pPr>
      <w:r>
        <w:rPr>
          <w:b/>
          <w:bCs/>
          <w:color w:val="1E2761"/>
        </w:rPr>
        <w:t xml:space="preserve">Output methods. </w:t>
      </w:r>
      <w:r>
        <w:t>Measure progress based on results (units delivered, milestones reached, surveys of work completed). Output methods may be more representative of the transfer of control but can be harder to apply when outputs are not directly observable.</w:t>
      </w:r>
    </w:p>
    <w:p w14:paraId="33644217" w14:textId="77777777" w:rsidR="008A43CF" w:rsidRDefault="00000000">
      <w:pPr>
        <w:spacing w:before="200" w:after="80"/>
      </w:pPr>
      <w:r>
        <w:rPr>
          <w:rFonts w:ascii="Georgia" w:eastAsia="Georgia" w:hAnsi="Georgia" w:cs="Georgia"/>
          <w:b/>
          <w:bCs/>
          <w:color w:val="1E2761"/>
          <w:sz w:val="23"/>
          <w:szCs w:val="23"/>
        </w:rPr>
        <w:lastRenderedPageBreak/>
        <w:t>Step 5 in the Readings</w:t>
      </w:r>
    </w:p>
    <w:p w14:paraId="33644218" w14:textId="77777777" w:rsidR="008A43CF" w:rsidRDefault="00000000">
      <w:pPr>
        <w:pStyle w:val="ListParagraph"/>
        <w:numPr>
          <w:ilvl w:val="0"/>
          <w:numId w:val="3"/>
        </w:numPr>
        <w:spacing w:after="60"/>
      </w:pPr>
      <w:r>
        <w:t>Boeing: The most complex example. Defense contracts are recognized over time (termination-for-convenience gives the government control of WIP) using cost-to-cost input methods. Commercial aircraft are recognized at a point in time (upon delivery and customer acceptance). Same company, two recognition patterns. The cumulative catch-up risk is enormous.</w:t>
      </w:r>
    </w:p>
    <w:p w14:paraId="33644219" w14:textId="77777777" w:rsidR="008A43CF" w:rsidRDefault="00000000">
      <w:pPr>
        <w:pStyle w:val="ListParagraph"/>
        <w:numPr>
          <w:ilvl w:val="0"/>
          <w:numId w:val="3"/>
        </w:numPr>
        <w:spacing w:after="60"/>
      </w:pPr>
      <w:r>
        <w:t>Tesla: Split recognition. Vehicle delivery is point-in-time (control transfers to the buyer). FSD, connectivity, and Supercharging are over-time as stand-ready obligations are fulfilled. Tesla recognizes the car revenue on delivery day, then drips out deferred revenue over years as it delivers on software and service promises.</w:t>
      </w:r>
    </w:p>
    <w:p w14:paraId="3364421A" w14:textId="77777777" w:rsidR="008A43CF" w:rsidRDefault="00000000">
      <w:pPr>
        <w:pStyle w:val="ListParagraph"/>
        <w:numPr>
          <w:ilvl w:val="0"/>
          <w:numId w:val="3"/>
        </w:numPr>
        <w:spacing w:after="60"/>
      </w:pPr>
      <w:r>
        <w:t>Uber: Each ride is satisfied over time — the rider simultaneously receives and consumes the transportation service. Revenue is recognized trip by trip as each is completed. The simplicity is striking compared to Boeing’s multi-decade programs.</w:t>
      </w:r>
    </w:p>
    <w:p w14:paraId="3364421B" w14:textId="77777777" w:rsidR="008A43CF" w:rsidRDefault="00000000">
      <w:pPr>
        <w:pStyle w:val="ListParagraph"/>
        <w:numPr>
          <w:ilvl w:val="0"/>
          <w:numId w:val="3"/>
        </w:numPr>
        <w:spacing w:after="60"/>
      </w:pPr>
      <w:r>
        <w:t>Moderna: Bill-and-hold arrangements for the Strategic National Stockpile allow point-in-time recognition without physical delivery. ASC 606 provides specific criteria: the arrangement must be substantive, the product separately identified and currently ready for transfer, and the entity cannot use or redirect it. This is the Sunbeam bill-and-hold scenario done legitimately — and ASC 606’s explicit criteria are designed to prevent the abuses that Sunbeam’s vague standards enabled.</w:t>
      </w:r>
    </w:p>
    <w:p w14:paraId="3364421C" w14:textId="77777777" w:rsidR="008A43CF" w:rsidRDefault="008A43CF">
      <w:pPr>
        <w:spacing w:after="120"/>
      </w:pPr>
    </w:p>
    <w:p w14:paraId="3364421D" w14:textId="77777777" w:rsidR="008A43CF" w:rsidRDefault="00000000">
      <w:r>
        <w:br w:type="page"/>
      </w:r>
    </w:p>
    <w:p w14:paraId="3364421E" w14:textId="77777777" w:rsidR="008A43CF" w:rsidRDefault="00000000">
      <w:pPr>
        <w:pStyle w:val="Heading1"/>
      </w:pPr>
      <w:r>
        <w:lastRenderedPageBreak/>
        <w:t>Part 4: ASC 606 in Practice — The Assigned Readings</w:t>
      </w:r>
    </w:p>
    <w:p w14:paraId="3364421F" w14:textId="77777777" w:rsidR="008A43CF" w:rsidRDefault="00000000">
      <w:pPr>
        <w:spacing w:after="120"/>
      </w:pPr>
      <w:r>
        <w:t>The company filings assigned for today show ASC 606 at work across very different business models. Each illustrates different steps of the five-step model and different judgment calls.</w:t>
      </w:r>
    </w:p>
    <w:p w14:paraId="33644220" w14:textId="77777777" w:rsidR="008A43CF" w:rsidRDefault="00000000">
      <w:pPr>
        <w:pStyle w:val="Heading2"/>
      </w:pPr>
      <w:r>
        <w:t>A. Uber: Who Is the Customer?</w:t>
      </w:r>
    </w:p>
    <w:p w14:paraId="33644221" w14:textId="77777777" w:rsidR="008A43CF" w:rsidRDefault="00000000">
      <w:pPr>
        <w:spacing w:after="120"/>
      </w:pPr>
      <w:r>
        <w:t>The Uber 10-K is the centerpiece. The surprising fact: Uber’s customers under ASC 606 are the drivers and merchants, not the riders.</w:t>
      </w:r>
    </w:p>
    <w:p w14:paraId="33644222" w14:textId="77777777" w:rsidR="008A43CF" w:rsidRDefault="00000000">
      <w:pPr>
        <w:spacing w:before="200" w:after="80"/>
      </w:pPr>
      <w:r>
        <w:rPr>
          <w:rFonts w:ascii="Georgia" w:eastAsia="Georgia" w:hAnsi="Georgia" w:cs="Georgia"/>
          <w:b/>
          <w:bCs/>
          <w:color w:val="1E2761"/>
          <w:sz w:val="23"/>
          <w:szCs w:val="23"/>
        </w:rPr>
        <w:t>The Principal-Agent Determination</w:t>
      </w:r>
    </w:p>
    <w:p w14:paraId="33644223" w14:textId="77777777" w:rsidR="008A43CF" w:rsidRDefault="00000000">
      <w:pPr>
        <w:spacing w:after="120"/>
      </w:pPr>
      <w:r>
        <w:t>Uber’s 10-K (p. 87) states: “We have concluded that we are an agent in these arrangements as we arrange for other parties to provide the service to the end-user.” This means Uber does not control the transportation service before it is transferred to the rider. The driver provides the service; Uber provides the platform that connects them.</w:t>
      </w:r>
    </w:p>
    <w:p w14:paraId="33644224" w14:textId="77777777" w:rsidR="008A43CF" w:rsidRDefault="00000000">
      <w:pPr>
        <w:spacing w:after="120"/>
      </w:pPr>
      <w:r>
        <w:t>The consequence: Uber reports revenue net — just the platform fee it charges drivers and merchants, not the full fare paid by riders. This is the Priceline/EITF 99-19 question resolved under ASC 606’s control principle. The difference is enormous: Uber reported approximately $37 billion in revenue in 2023, but total gross bookings were far larger.</w:t>
      </w:r>
    </w:p>
    <w:p w14:paraId="33644225" w14:textId="77777777" w:rsidR="008A43CF" w:rsidRDefault="00000000">
      <w:pPr>
        <w:spacing w:after="120"/>
      </w:pPr>
      <w:r>
        <w:t>Critically, the answer changes by business line within the same company. For Mobility (rides), Uber is an agent (net). For Freight, Uber controls the service before transferring it to the shipper — it selects carriers, directs them, and bears responsibility — so it is the principal (gross). Same company, same ASC 606 test, different answers.</w:t>
      </w:r>
    </w:p>
    <w:p w14:paraId="33644226" w14:textId="77777777" w:rsidR="008A43CF" w:rsidRDefault="00000000">
      <w:pPr>
        <w:spacing w:before="200" w:after="80"/>
      </w:pPr>
      <w:r>
        <w:rPr>
          <w:rFonts w:ascii="Georgia" w:eastAsia="Georgia" w:hAnsi="Georgia" w:cs="Georgia"/>
          <w:b/>
          <w:bCs/>
          <w:color w:val="1E2761"/>
          <w:sz w:val="23"/>
          <w:szCs w:val="23"/>
        </w:rPr>
        <w:t>Variable Consideration</w:t>
      </w:r>
    </w:p>
    <w:p w14:paraId="33644227" w14:textId="77777777" w:rsidR="008A43CF" w:rsidRDefault="00000000">
      <w:pPr>
        <w:spacing w:after="120"/>
      </w:pPr>
      <w:r>
        <w:t>The driver/rider distinction creates complex accounting for incentives and discounts:</w:t>
      </w:r>
    </w:p>
    <w:p w14:paraId="33644228" w14:textId="77777777" w:rsidR="008A43CF" w:rsidRDefault="00000000">
      <w:pPr>
        <w:pStyle w:val="ListParagraph"/>
        <w:numPr>
          <w:ilvl w:val="0"/>
          <w:numId w:val="3"/>
        </w:numPr>
        <w:spacing w:after="60"/>
      </w:pPr>
      <w:r>
        <w:t>Driver incentives (payments to encourage drivers to complete trips) are recorded as a reduction of revenue, because drivers are the customer and the incentives reduce what Uber earns from them.</w:t>
      </w:r>
    </w:p>
    <w:p w14:paraId="33644229" w14:textId="77777777" w:rsidR="008A43CF" w:rsidRDefault="00000000">
      <w:pPr>
        <w:pStyle w:val="ListParagraph"/>
        <w:numPr>
          <w:ilvl w:val="0"/>
          <w:numId w:val="3"/>
        </w:numPr>
        <w:spacing w:after="60"/>
      </w:pPr>
      <w:r>
        <w:t>Rider discounts and promotions are not a reduction of revenue, because riders are not Uber’s customer — they are end-users. Instead, these reduce the net fare from which Uber’s fee is calculated.</w:t>
      </w:r>
    </w:p>
    <w:p w14:paraId="3364422A" w14:textId="77777777" w:rsidR="008A43CF" w:rsidRDefault="00000000">
      <w:pPr>
        <w:pStyle w:val="ListParagraph"/>
        <w:numPr>
          <w:ilvl w:val="0"/>
          <w:numId w:val="3"/>
        </w:numPr>
        <w:spacing w:after="60"/>
      </w:pPr>
      <w:r>
        <w:t>Referral payments for new drivers are treated as customer acquisition costs (sales and marketing expense), not revenue reductions, because they are exchanged for a distinct service.</w:t>
      </w:r>
    </w:p>
    <w:p w14:paraId="3364422B" w14:textId="77777777" w:rsidR="008A43CF" w:rsidRDefault="00000000">
      <w:pPr>
        <w:spacing w:after="120"/>
      </w:pPr>
      <w:r>
        <w:t>This classification affects both the income statement and key operating metrics. The distinction between “reduction of revenue” and “marketing expense” for economically similar incentives is a direct product of the ASC 606 framework.</w:t>
      </w:r>
    </w:p>
    <w:p w14:paraId="3364422C" w14:textId="77777777" w:rsidR="008A43CF" w:rsidRDefault="00000000">
      <w:pPr>
        <w:spacing w:before="200" w:after="80"/>
      </w:pPr>
      <w:r>
        <w:rPr>
          <w:rFonts w:ascii="Georgia" w:eastAsia="Georgia" w:hAnsi="Georgia" w:cs="Georgia"/>
          <w:b/>
          <w:bCs/>
          <w:color w:val="1E2761"/>
          <w:sz w:val="23"/>
          <w:szCs w:val="23"/>
        </w:rPr>
        <w:t>Discussion Approach</w:t>
      </w:r>
    </w:p>
    <w:p w14:paraId="3364422D" w14:textId="77777777" w:rsidR="008A43CF" w:rsidRDefault="00000000">
      <w:pPr>
        <w:spacing w:after="120"/>
      </w:pPr>
      <w:r>
        <w:rPr>
          <w:i/>
          <w:iCs/>
          <w:color w:val="3A6EA5"/>
        </w:rPr>
        <w:t>Open with a question to the class: “When you take an Uber, who is Uber’s customer?” Let them debate. Then show the 10-K language. Connect back to Priceline and EITF 99-19 — this is the same gross-vs-net question, now answered through the ASC 606 control principle rather than a list of indicators.</w:t>
      </w:r>
    </w:p>
    <w:p w14:paraId="3364422E" w14:textId="77777777" w:rsidR="008A43CF" w:rsidRDefault="00000000">
      <w:r>
        <w:br w:type="page"/>
      </w:r>
    </w:p>
    <w:p w14:paraId="3364422F" w14:textId="77777777" w:rsidR="008A43CF" w:rsidRDefault="00000000">
      <w:pPr>
        <w:pStyle w:val="Heading2"/>
      </w:pPr>
      <w:r>
        <w:lastRenderedPageBreak/>
        <w:t>B. Tesla: The Bundling Problem Solved?</w:t>
      </w:r>
    </w:p>
    <w:p w14:paraId="33644230" w14:textId="77777777" w:rsidR="008A43CF" w:rsidRDefault="00000000">
      <w:pPr>
        <w:spacing w:after="120"/>
      </w:pPr>
      <w:r>
        <w:t>Tesla is the best example of multi-element bundling under ASC 606 — and the modern descendant of the old SOP 97-2 software problem.</w:t>
      </w:r>
    </w:p>
    <w:p w14:paraId="33644231" w14:textId="77777777" w:rsidR="008A43CF" w:rsidRDefault="00000000">
      <w:pPr>
        <w:spacing w:after="120"/>
      </w:pPr>
      <w:r>
        <w:t>A single Tesla vehicle sale contains at least five performance obligations: the car itself (recognized at a point in time upon delivery), Full Self-Driving capability (recognized over time as software updates are delivered via over-the-air updates), internet connectivity services (recognized over time as a stand-ready obligation), Supercharging access (recognized over time), and software updates (recognized over time as delivered).</w:t>
      </w:r>
    </w:p>
    <w:p w14:paraId="33644232" w14:textId="77777777" w:rsidR="008A43CF" w:rsidRDefault="00000000">
      <w:pPr>
        <w:spacing w:after="120"/>
      </w:pPr>
      <w:r>
        <w:t>Tesla carries approximately $3.5 billion in deferred revenue on its balance sheet, mostly from FSD features and prepaid services not yet fully delivered. This is exactly the kind of bundled software-with-hardware problem that SOP 97-2 and its successors struggled with — but under ASC 606, Tesla applies the same five-step model that every other company uses. No industry-specific rules.</w:t>
      </w:r>
    </w:p>
    <w:p w14:paraId="33644233" w14:textId="77777777" w:rsidR="008A43CF" w:rsidRDefault="00000000">
      <w:pPr>
        <w:spacing w:after="120"/>
      </w:pPr>
      <w:r>
        <w:rPr>
          <w:i/>
          <w:iCs/>
          <w:color w:val="3A6EA5"/>
        </w:rPr>
        <w:t>The key judgment: How do you determine the standalone selling price of FSD when it is rarely sold separately and its features are still evolving? Tesla must estimate this to allocate the transaction price across performance obligations (Step 4). Different estimates produce different revenue timing.</w:t>
      </w:r>
    </w:p>
    <w:p w14:paraId="33644234" w14:textId="77777777" w:rsidR="008A43CF" w:rsidRDefault="00000000">
      <w:pPr>
        <w:pStyle w:val="Heading2"/>
      </w:pPr>
      <w:r>
        <w:t>C. Boeing: Over-Time Recognition and the Limits of Judgment</w:t>
      </w:r>
    </w:p>
    <w:p w14:paraId="33644235" w14:textId="77777777" w:rsidR="008A43CF" w:rsidRDefault="00000000">
      <w:pPr>
        <w:spacing w:after="120"/>
      </w:pPr>
      <w:r>
        <w:t>Boeing shows that ASC 606 hasn’t eliminated the judgment problem — it has moved it.</w:t>
      </w:r>
    </w:p>
    <w:p w14:paraId="33644236" w14:textId="77777777" w:rsidR="008A43CF" w:rsidRDefault="00000000">
      <w:pPr>
        <w:spacing w:after="120"/>
      </w:pPr>
      <w:r>
        <w:t>Commercial aircraft are recognized at a point in time (upon delivery and customer acceptance). But defense contracts are recognized over time using cost-to-cost percentage-of-completion methods. Why the difference? Defense contracts include termination-for-convenience clauses giving the U.S. government control over work-in-progress — a legal term that drives the accounting outcome under ASC 606’s “control transfers over time” criterion.</w:t>
      </w:r>
    </w:p>
    <w:p w14:paraId="33644237" w14:textId="77777777" w:rsidR="008A43CF" w:rsidRDefault="00000000">
      <w:pPr>
        <w:spacing w:after="120"/>
      </w:pPr>
      <w:r>
        <w:t>The cumulative catch-up adjustments are staggering. In 2023, changes in estimated program margins produced a $2.9 billion increase in loss from operations. Boeing also carries $56 billion in contract liabilities (customer advances before delivery) against $520 billion in unfilled backlog. A 1% change in estimated program margins swings earnings by roughly $330 million.</w:t>
      </w:r>
    </w:p>
    <w:p w14:paraId="33644238" w14:textId="77777777" w:rsidR="008A43CF" w:rsidRDefault="00000000">
      <w:pPr>
        <w:spacing w:after="120"/>
      </w:pPr>
      <w:r>
        <w:rPr>
          <w:i/>
          <w:iCs/>
          <w:color w:val="3A6EA5"/>
        </w:rPr>
        <w:t>For law students, this is revealing: the same standard that eliminated vague criteria for simple transactions still requires enormous judgment for long-term programs. The question isn’t whether ASC 606 eliminated judgment — it didn’t — but whether it structured the judgment in a way that makes it more auditable.</w:t>
      </w:r>
    </w:p>
    <w:p w14:paraId="33644239" w14:textId="77777777" w:rsidR="008A43CF" w:rsidRDefault="00000000">
      <w:pPr>
        <w:pStyle w:val="Heading2"/>
      </w:pPr>
      <w:r>
        <w:t>D. Dell: The Modern Bundling Challenge</w:t>
      </w:r>
    </w:p>
    <w:p w14:paraId="3364423A" w14:textId="77777777" w:rsidR="008A43CF" w:rsidRDefault="00000000">
      <w:pPr>
        <w:spacing w:after="120"/>
      </w:pPr>
      <w:r>
        <w:t>Dell illustrates the everyday complexity of multi-element arrangements: hardware + software + multi-year support contracts + financing through Dell Financial Services, all in one contract. Dell must determine standalone selling prices to allocate across performance obligations, decide whether it is principal or agent for resold third-party products, and separate lease components (sales-type vs. operating) for its financing arrangements.</w:t>
      </w:r>
    </w:p>
    <w:p w14:paraId="3364423B" w14:textId="77777777" w:rsidR="008A43CF" w:rsidRDefault="00000000">
      <w:pPr>
        <w:spacing w:after="120"/>
      </w:pPr>
      <w:r>
        <w:t>This is the direct descendant of the problems that spawned EITF 00-21 and the multiple-element arrangement guidance — now handled under a single ASC 606 framework.</w:t>
      </w:r>
    </w:p>
    <w:p w14:paraId="3364423C" w14:textId="77777777" w:rsidR="008A43CF" w:rsidRDefault="00000000">
      <w:pPr>
        <w:pStyle w:val="Heading2"/>
      </w:pPr>
      <w:r>
        <w:t>E. Perrigo: The Simple Case with Variable Consideration</w:t>
      </w:r>
    </w:p>
    <w:p w14:paraId="3364423D" w14:textId="77777777" w:rsidR="008A43CF" w:rsidRDefault="00000000">
      <w:pPr>
        <w:spacing w:after="120"/>
      </w:pPr>
      <w:r>
        <w:lastRenderedPageBreak/>
        <w:t>Perrigo is the simplest company in the set — mostly point-in-time product sales of OTC consumer health products. Ship it, recognize it. But the variable consideration question is real: returns, chargebacks, promotional rebates, and volume-based incentives all reduce the transaction price (Step 3). Perrigo must estimate these at contract inception and constrain the estimate so that a significant reversal is not probable.</w:t>
      </w:r>
    </w:p>
    <w:p w14:paraId="3364423E" w14:textId="77777777" w:rsidR="008A43CF" w:rsidRDefault="00000000">
      <w:pPr>
        <w:spacing w:after="120"/>
      </w:pPr>
      <w:r>
        <w:rPr>
          <w:i/>
          <w:iCs/>
          <w:color w:val="3A6EA5"/>
        </w:rPr>
        <w:t>This connects directly to the Bristol-Myers scandal: the same return-and-rebate dynamics that made “reasonably sure of collection” exploitable. Under ASC 606, the constraint on variable consideration is designed to prevent companies from recognizing revenue they’ll have to reverse.</w:t>
      </w:r>
    </w:p>
    <w:p w14:paraId="3364423F" w14:textId="77777777" w:rsidR="008A43CF" w:rsidRDefault="00000000">
      <w:pPr>
        <w:pStyle w:val="Heading2"/>
      </w:pPr>
      <w:r>
        <w:t>F. COVID-19 Vaccine Revenue Recognition</w:t>
      </w:r>
    </w:p>
    <w:p w14:paraId="33644240" w14:textId="77777777" w:rsidR="008A43CF" w:rsidRDefault="00000000">
      <w:pPr>
        <w:spacing w:after="120"/>
      </w:pPr>
      <w:r>
        <w:t>The Wilks, Drum &amp; Holle article on vaccine revenue recognition is the best illustration of how ASC 606 still requires significant judgment in novel situations. Three issues stand out:</w:t>
      </w:r>
    </w:p>
    <w:p w14:paraId="33644241" w14:textId="77777777" w:rsidR="008A43CF" w:rsidRDefault="00000000">
      <w:pPr>
        <w:spacing w:after="120"/>
      </w:pPr>
      <w:r>
        <w:rPr>
          <w:b/>
          <w:bCs/>
          <w:color w:val="1E2761"/>
        </w:rPr>
        <w:t xml:space="preserve">Milestone payments as variable consideration. </w:t>
      </w:r>
      <w:r>
        <w:t>Moderna had a $300 million payment from the U.S. government contingent on FDA approval. As of September 2020, Moderna had not recognized any of it as revenue because FDA approval was not yet “highly probable.” This is the variable consideration constraint (Step 3) in action — you cannot recognize revenue that may need to be significantly reversed.</w:t>
      </w:r>
    </w:p>
    <w:p w14:paraId="33644242" w14:textId="77777777" w:rsidR="008A43CF" w:rsidRDefault="00000000">
      <w:pPr>
        <w:spacing w:after="120"/>
      </w:pPr>
      <w:r>
        <w:rPr>
          <w:b/>
          <w:bCs/>
          <w:color w:val="1E2761"/>
        </w:rPr>
        <w:t xml:space="preserve">Purchase options as material rights. </w:t>
      </w:r>
      <w:r>
        <w:t>Many government contracts included options to purchase additional vaccine doses at favorable prices. Under ASC 606, if a customer’s option provides a “material right” (a discount beyond what is available to the general market), it is a separate performance obligation. Determining whether a purchase option is a material right requires estimating the likelihood of exercise and the incremental discount.</w:t>
      </w:r>
    </w:p>
    <w:p w14:paraId="33644243" w14:textId="77777777" w:rsidR="008A43CF" w:rsidRDefault="00000000">
      <w:pPr>
        <w:spacing w:after="120"/>
      </w:pPr>
      <w:r>
        <w:rPr>
          <w:b/>
          <w:bCs/>
          <w:color w:val="1E2761"/>
        </w:rPr>
        <w:t xml:space="preserve">Bill-and-hold arrangements. </w:t>
      </w:r>
      <w:r>
        <w:t>Vaccines delivered to the Strategic National Stockpile were billed to the government but physically stored by the manufacturer, with ongoing storage and replacement obligations. This is the Sunbeam bill-and-hold scenario in a legitimate context. ASC 606 provides specific criteria for when bill-and-hold revenue can be recognized: the arrangement must be substantive, the product must be separately identified, currently ready for transfer, and the entity cannot use the product or direct it to another customer.</w:t>
      </w:r>
    </w:p>
    <w:p w14:paraId="33644244" w14:textId="77777777" w:rsidR="008A43CF" w:rsidRDefault="00000000">
      <w:r>
        <w:br w:type="page"/>
      </w:r>
    </w:p>
    <w:p w14:paraId="33644245" w14:textId="77777777" w:rsidR="008A43CF" w:rsidRDefault="00000000">
      <w:pPr>
        <w:pStyle w:val="Heading1"/>
      </w:pPr>
      <w:r>
        <w:lastRenderedPageBreak/>
        <w:t>Closing Question</w:t>
      </w:r>
    </w:p>
    <w:p w14:paraId="33644246" w14:textId="77777777" w:rsidR="008A43CF" w:rsidRDefault="00000000">
      <w:pPr>
        <w:spacing w:after="120"/>
      </w:pPr>
      <w:r>
        <w:t>Does ASC 606 solve the problem, or does it just move the judgment calls to different places?</w:t>
      </w:r>
    </w:p>
    <w:p w14:paraId="33644247" w14:textId="77777777" w:rsidR="008A43CF" w:rsidRDefault="00000000">
      <w:pPr>
        <w:spacing w:after="120"/>
      </w:pPr>
      <w:r>
        <w:t>The old criteria relied on vague terms (“substantially complete,” “some accuracy,” “reasonably sure”) that left enormous room for negotiation and manipulation. ASC 606 replaces them with a structured five-step model and explicit concepts like “transfer of control” and “performance obligations.”</w:t>
      </w:r>
    </w:p>
    <w:p w14:paraId="33644248" w14:textId="77777777" w:rsidR="008A43CF" w:rsidRDefault="00000000">
      <w:pPr>
        <w:spacing w:after="120"/>
      </w:pPr>
      <w:r>
        <w:t>But judgment hasn’t disappeared. It has moved. Under ASC 606, the key judgments include: What constitutes a distinct performance obligation? How do you estimate variable consideration? When does control transfer “over time” versus at a “point in time”? What is the standalone selling price of a good or service never sold separately? Is the entity a principal or an agent?</w:t>
      </w:r>
    </w:p>
    <w:p w14:paraId="33644249" w14:textId="77777777" w:rsidR="008A43CF" w:rsidRDefault="00000000">
      <w:pPr>
        <w:spacing w:after="120"/>
      </w:pPr>
      <w:r>
        <w:t>The company filings make this concrete. Uber’s principal-agent determination produces a $100 billion difference in reported revenue. Tesla’s FSD allocation determines when billions in deferred revenue reach the income statement. Boeing’s cost-to-cost estimates swing earnings by hundreds of millions each quarter. These are judgment calls that ASC 606 structures but does not eliminate.</w:t>
      </w:r>
    </w:p>
    <w:p w14:paraId="3364424A" w14:textId="77777777" w:rsidR="008A43CF" w:rsidRDefault="00000000">
      <w:pPr>
        <w:spacing w:after="120"/>
      </w:pPr>
      <w:r>
        <w:t>For law students, this raises a familiar question: is it better to have rules (bright-line, easy to apply, but rigid and gameable) or standards (flexible, context-sensitive, but expensive to administer and uncertain in application)? Revenue recognition has oscillated between both approaches — and ASC 606 represents an attempt to find a middle ground.</w:t>
      </w:r>
    </w:p>
    <w:p w14:paraId="3364424B" w14:textId="77777777" w:rsidR="008A43CF" w:rsidRDefault="00000000">
      <w:r>
        <w:br w:type="page"/>
      </w:r>
    </w:p>
    <w:p w14:paraId="3364424C" w14:textId="77777777" w:rsidR="008A43CF" w:rsidRDefault="00000000">
      <w:pPr>
        <w:pStyle w:val="Heading1"/>
      </w:pPr>
      <w:r>
        <w:lastRenderedPageBreak/>
        <w:t>Appendix</w:t>
      </w:r>
    </w:p>
    <w:p w14:paraId="3364424D" w14:textId="77777777" w:rsidR="008A43CF" w:rsidRDefault="00000000">
      <w:pPr>
        <w:pStyle w:val="Heading2"/>
      </w:pPr>
      <w:r>
        <w:t>A. Who Makes the Rules?</w:t>
      </w:r>
    </w:p>
    <w:p w14:paraId="3364424E" w14:textId="77777777" w:rsidR="008A43CF" w:rsidRDefault="00000000">
      <w:pPr>
        <w:spacing w:after="120"/>
      </w:pPr>
      <w:r>
        <w:t>Understanding the patchwork requires knowing the institutional landscape. Multiple bodies contributed to the tangle of revenue recognition guidance:</w:t>
      </w:r>
    </w:p>
    <w:p w14:paraId="3364424F" w14:textId="77777777" w:rsidR="008A43CF" w:rsidRDefault="00000000">
      <w:pPr>
        <w:spacing w:after="120"/>
      </w:pPr>
      <w:r>
        <w:rPr>
          <w:b/>
          <w:bCs/>
          <w:color w:val="1E2761"/>
        </w:rPr>
        <w:t xml:space="preserve">SEC (Securities and Exchange Commission). </w:t>
      </w:r>
      <w:r>
        <w:t>Has statutory authority over financial reporting for public companies. Congress gave it the power. The SEC delegated day-to-day standard-setting to the FASB but retains veto power — the SEC can always overrule the FASB. It also issues Staff Accounting Bulletins (SABs) interpreting GAAP.</w:t>
      </w:r>
    </w:p>
    <w:p w14:paraId="33644250" w14:textId="77777777" w:rsidR="008A43CF" w:rsidRDefault="00000000">
      <w:pPr>
        <w:spacing w:after="120"/>
      </w:pPr>
      <w:r>
        <w:rPr>
          <w:b/>
          <w:bCs/>
          <w:color w:val="1E2761"/>
        </w:rPr>
        <w:t xml:space="preserve">FASB (Financial Accounting Standards Board). </w:t>
      </w:r>
      <w:r>
        <w:t xml:space="preserve">Sets U.S. GAAP under SEC authority. A private-sector body that operates as the SEC’s </w:t>
      </w:r>
      <w:proofErr w:type="spellStart"/>
      <w:r>
        <w:t>delegatee</w:t>
      </w:r>
      <w:proofErr w:type="spellEnd"/>
      <w:r>
        <w:t>. Issued ASC 606.</w:t>
      </w:r>
    </w:p>
    <w:p w14:paraId="33644251" w14:textId="77777777" w:rsidR="008A43CF" w:rsidRDefault="00000000">
      <w:pPr>
        <w:spacing w:after="120"/>
      </w:pPr>
      <w:r>
        <w:rPr>
          <w:b/>
          <w:bCs/>
          <w:color w:val="1E2761"/>
        </w:rPr>
        <w:t xml:space="preserve">IASB (International Accounting Standards Board). </w:t>
      </w:r>
      <w:r>
        <w:t>Sets IFRS for 140+ countries. Operates independently of U.S. regulatory authority. Co-developed IFRS 15 with FASB beginning with the Norwalk Agreement (2002).</w:t>
      </w:r>
    </w:p>
    <w:p w14:paraId="33644252" w14:textId="77777777" w:rsidR="008A43CF" w:rsidRDefault="00000000">
      <w:pPr>
        <w:spacing w:after="120"/>
      </w:pPr>
      <w:r>
        <w:rPr>
          <w:b/>
          <w:bCs/>
          <w:color w:val="1E2761"/>
        </w:rPr>
        <w:t xml:space="preserve">EITF (Emerging Issues Task Force). </w:t>
      </w:r>
      <w:r>
        <w:t>A FASB subgroup convened to address urgent interpretive questions. Produced EITF 99-19 (gross vs. net revenue reporting — the Priceline question) and EITF 00-21 (multi-element arrangements). Consensus positions became authoritative GAAP without full FASB deliberation.</w:t>
      </w:r>
    </w:p>
    <w:p w14:paraId="33644253" w14:textId="77777777" w:rsidR="008A43CF" w:rsidRDefault="00000000">
      <w:pPr>
        <w:spacing w:after="120"/>
      </w:pPr>
      <w:r>
        <w:rPr>
          <w:b/>
          <w:bCs/>
          <w:color w:val="1E2761"/>
        </w:rPr>
        <w:t xml:space="preserve">AICPA (American Institute of CPAs). </w:t>
      </w:r>
      <w:r>
        <w:t>Professional body for CPAs. Historically issued Statements of Position (SOPs) that became authoritative GAAP — including SOP 97-2 (software), SOP 81-1 (construction), and SOP 00-2 (film). Since 2009, its standard-setting role has been absorbed by the FASB.</w:t>
      </w:r>
    </w:p>
    <w:p w14:paraId="33644254" w14:textId="77777777" w:rsidR="008A43CF" w:rsidRDefault="00000000">
      <w:pPr>
        <w:spacing w:after="120"/>
      </w:pPr>
      <w:r>
        <w:rPr>
          <w:b/>
          <w:bCs/>
          <w:color w:val="1E2761"/>
        </w:rPr>
        <w:t xml:space="preserve">PCAOB (Public Company Accounting Oversight Board). </w:t>
      </w:r>
      <w:r>
        <w:t>Created by Sarbanes-Oxley (2002) to oversee audits of public companies. Inspects audit firms and sets auditing standards. Does not set GAAP, but its enforcement shapes how GAAP is applied in practice.</w:t>
      </w:r>
    </w:p>
    <w:p w14:paraId="33644255" w14:textId="77777777" w:rsidR="008A43CF" w:rsidRDefault="00000000">
      <w:pPr>
        <w:spacing w:after="120"/>
      </w:pPr>
      <w:r>
        <w:t>The proliferation of authoritative sources — FASB standards, AICPA SOPs, EITF consensuses, SEC SABs — was itself part of the problem. An auditor needed to consult multiple bodies’ guidance to determine how a single transaction should be recorded.</w:t>
      </w:r>
    </w:p>
    <w:p w14:paraId="33644256" w14:textId="77777777" w:rsidR="008A43CF" w:rsidRDefault="00000000">
      <w:pPr>
        <w:pStyle w:val="Heading2"/>
      </w:pPr>
      <w:r>
        <w:t>B. The Cost of Vague Standards</w:t>
      </w:r>
    </w:p>
    <w:p w14:paraId="33644257" w14:textId="77777777" w:rsidR="008A43CF" w:rsidRDefault="00000000">
      <w:pPr>
        <w:spacing w:after="120"/>
      </w:pPr>
      <w:r>
        <w:t>Ambiguous criteria don’t just enable fraud — they raise the cost of honest accounting. This is a critical point for understanding what stimulates the FASB to act.</w:t>
      </w:r>
    </w:p>
    <w:p w14:paraId="33644258" w14:textId="77777777" w:rsidR="008A43CF" w:rsidRDefault="00000000">
      <w:pPr>
        <w:spacing w:after="120"/>
      </w:pPr>
      <w:r>
        <w:rPr>
          <w:b/>
          <w:bCs/>
          <w:color w:val="1E2761"/>
        </w:rPr>
        <w:t xml:space="preserve">Every engagement becomes a negotiation. </w:t>
      </w:r>
      <w:r>
        <w:t>When the standard says “substantially complete” without defining it, the auditor and the client must argue about what it means — for every material revenue stream, every year. That takes time and money, and the outcome depends on who’s across the table.</w:t>
      </w:r>
    </w:p>
    <w:p w14:paraId="33644259" w14:textId="77777777" w:rsidR="008A43CF" w:rsidRDefault="00000000">
      <w:pPr>
        <w:spacing w:after="120"/>
      </w:pPr>
      <w:r>
        <w:rPr>
          <w:b/>
          <w:bCs/>
          <w:color w:val="1E2761"/>
        </w:rPr>
        <w:t xml:space="preserve">Inconsistency across firms and industries. </w:t>
      </w:r>
      <w:r>
        <w:t>Different audit firms developed different interpretations of the same vague criteria. A transaction that passed muster with one Big Four firm might be challenged by another. The proliferation of industry-specific standards made this worse: auditors needed specialized knowledge for each client.</w:t>
      </w:r>
    </w:p>
    <w:p w14:paraId="3364425A" w14:textId="77777777" w:rsidR="008A43CF" w:rsidRDefault="00000000">
      <w:pPr>
        <w:spacing w:after="120"/>
      </w:pPr>
      <w:r>
        <w:rPr>
          <w:b/>
          <w:bCs/>
          <w:color w:val="1E2761"/>
        </w:rPr>
        <w:t xml:space="preserve">The FASB feels this pressure directly. </w:t>
      </w:r>
      <w:r>
        <w:t>Standard-setters hear from auditors, not just investors. When audit costs rise and outcomes vary, that’s a signal the standards aren’t doing their job. Tighter, more structured guidance reduces negotiation, increases comparability, and lowers the cost of the audit itself. The push for ASC 606 came not only from investor demands for comparability but from the profession’s demand for workable rules.</w:t>
      </w:r>
    </w:p>
    <w:p w14:paraId="3364425B" w14:textId="77777777" w:rsidR="008A43CF" w:rsidRDefault="00000000">
      <w:pPr>
        <w:pStyle w:val="Heading2"/>
      </w:pPr>
      <w:r>
        <w:lastRenderedPageBreak/>
        <w:t>C. Joint Development with the IASB: A Global Standard</w:t>
      </w:r>
    </w:p>
    <w:p w14:paraId="3364425C" w14:textId="77777777" w:rsidR="008A43CF" w:rsidRDefault="00000000">
      <w:pPr>
        <w:spacing w:after="120"/>
      </w:pPr>
      <w:r>
        <w:t>ASC 606 was not developed in isolation. It was the product of a decade-long joint project between the FASB and the IASB, which issued its counterpart as IFRS 15.</w:t>
      </w:r>
    </w:p>
    <w:p w14:paraId="3364425D" w14:textId="77777777" w:rsidR="008A43CF" w:rsidRDefault="00000000">
      <w:pPr>
        <w:pStyle w:val="ListParagraph"/>
        <w:numPr>
          <w:ilvl w:val="0"/>
          <w:numId w:val="3"/>
        </w:numPr>
        <w:spacing w:after="60"/>
      </w:pPr>
      <w:r>
        <w:t>2002: The Norwalk Agreement. FASB and IASB pledged to make their standards “fully compatible as soon as is practicable.” Revenue recognition was identified as a priority convergence project.</w:t>
      </w:r>
    </w:p>
    <w:p w14:paraId="3364425E" w14:textId="77777777" w:rsidR="008A43CF" w:rsidRDefault="00000000">
      <w:pPr>
        <w:pStyle w:val="ListParagraph"/>
        <w:numPr>
          <w:ilvl w:val="0"/>
          <w:numId w:val="3"/>
        </w:numPr>
        <w:spacing w:after="60"/>
      </w:pPr>
      <w:r>
        <w:t>2010: First Joint Exposure Draft. The boards proposed a shared model: revenue recognized when control of goods or services transfers to the customer. Over 900 comment letters received.</w:t>
      </w:r>
    </w:p>
    <w:p w14:paraId="3364425F" w14:textId="77777777" w:rsidR="008A43CF" w:rsidRDefault="00000000">
      <w:pPr>
        <w:pStyle w:val="ListParagraph"/>
        <w:numPr>
          <w:ilvl w:val="0"/>
          <w:numId w:val="3"/>
        </w:numPr>
        <w:spacing w:after="60"/>
      </w:pPr>
      <w:r>
        <w:t>2011: Revised Exposure Draft. After extensive feedback, the boards re-exposed with refinements on performance obligations, variable consideration, and licensing.</w:t>
      </w:r>
    </w:p>
    <w:p w14:paraId="33644260" w14:textId="77777777" w:rsidR="008A43CF" w:rsidRDefault="00000000">
      <w:pPr>
        <w:pStyle w:val="ListParagraph"/>
        <w:numPr>
          <w:ilvl w:val="0"/>
          <w:numId w:val="3"/>
        </w:numPr>
        <w:spacing w:after="60"/>
      </w:pPr>
      <w:r>
        <w:t>2014: Final Standards Issued. ASC 606 (U.S. GAAP) and IFRS 15 (international) published simultaneously in May.</w:t>
      </w:r>
    </w:p>
    <w:p w14:paraId="33644261" w14:textId="77777777" w:rsidR="008A43CF" w:rsidRDefault="00000000">
      <w:pPr>
        <w:pStyle w:val="ListParagraph"/>
        <w:numPr>
          <w:ilvl w:val="0"/>
          <w:numId w:val="3"/>
        </w:numPr>
        <w:spacing w:after="60"/>
      </w:pPr>
      <w:r>
        <w:t>2018: Effective Date. Mandatory for public companies. Replaces dozens of prior industry-specific rules under ASC 605 and IAS 11/IAS 18.</w:t>
      </w:r>
    </w:p>
    <w:p w14:paraId="33644262" w14:textId="77777777" w:rsidR="008A43CF" w:rsidRDefault="00000000">
      <w:pPr>
        <w:pStyle w:val="Heading2"/>
      </w:pPr>
      <w:r>
        <w:t>D. ASC 606 vs. IFRS 15: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A43CF" w14:paraId="336442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263" w14:textId="77777777" w:rsidR="008A43CF" w:rsidRDefault="00000000">
            <w:r>
              <w:rPr>
                <w:b/>
                <w:bCs/>
                <w:color w:val="FFFFFF"/>
                <w:sz w:val="20"/>
                <w:szCs w:val="20"/>
              </w:rPr>
              <w:t>Issue</w:t>
            </w:r>
          </w:p>
        </w:tc>
        <w:tc>
          <w:tcPr>
            <w:tcW w:w="368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264" w14:textId="77777777" w:rsidR="008A43CF" w:rsidRDefault="00000000">
            <w:r>
              <w:rPr>
                <w:b/>
                <w:bCs/>
                <w:color w:val="FFFFFF"/>
                <w:sz w:val="20"/>
                <w:szCs w:val="20"/>
              </w:rPr>
              <w:t>ASC 606 (U.S. GAAP)</w:t>
            </w:r>
          </w:p>
        </w:tc>
        <w:tc>
          <w:tcPr>
            <w:tcW w:w="3680" w:type="dxa"/>
            <w:tcBorders>
              <w:top w:val="single" w:sz="1" w:space="0" w:color="CCCCCC"/>
              <w:left w:val="single" w:sz="1" w:space="0" w:color="CCCCCC"/>
              <w:bottom w:val="single" w:sz="1" w:space="0" w:color="CCCCCC"/>
              <w:right w:val="single" w:sz="1" w:space="0" w:color="CCCCCC"/>
            </w:tcBorders>
            <w:shd w:val="clear" w:color="auto" w:fill="1E2761"/>
            <w:tcMar>
              <w:top w:w="60" w:type="dxa"/>
              <w:left w:w="100" w:type="dxa"/>
              <w:bottom w:w="60" w:type="dxa"/>
              <w:right w:w="100" w:type="dxa"/>
            </w:tcMar>
            <w:vAlign w:val="center"/>
          </w:tcPr>
          <w:p w14:paraId="33644265" w14:textId="77777777" w:rsidR="008A43CF" w:rsidRDefault="00000000">
            <w:r>
              <w:rPr>
                <w:b/>
                <w:bCs/>
                <w:color w:val="FFFFFF"/>
                <w:sz w:val="20"/>
                <w:szCs w:val="20"/>
              </w:rPr>
              <w:t>IFRS 15 (International)</w:t>
            </w:r>
          </w:p>
        </w:tc>
      </w:tr>
      <w:tr w:rsidR="008A43CF" w14:paraId="33644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67" w14:textId="77777777" w:rsidR="008A43CF" w:rsidRDefault="00000000">
            <w:proofErr w:type="spellStart"/>
            <w:r>
              <w:rPr>
                <w:color w:val="1A1A2E"/>
                <w:sz w:val="20"/>
                <w:szCs w:val="20"/>
              </w:rPr>
              <w:t>Collectibility</w:t>
            </w:r>
            <w:proofErr w:type="spellEnd"/>
            <w:r>
              <w:rPr>
                <w:color w:val="1A1A2E"/>
                <w:sz w:val="20"/>
                <w:szCs w:val="20"/>
              </w:rPr>
              <w:t xml:space="preserve"> threshold</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68" w14:textId="77777777" w:rsidR="008A43CF" w:rsidRDefault="00000000">
            <w:r>
              <w:rPr>
                <w:color w:val="1A1A2E"/>
                <w:sz w:val="20"/>
                <w:szCs w:val="20"/>
              </w:rPr>
              <w:t>“Probable” = ~75–80% likely</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69" w14:textId="77777777" w:rsidR="008A43CF" w:rsidRDefault="00000000">
            <w:r>
              <w:rPr>
                <w:color w:val="1A1A2E"/>
                <w:sz w:val="20"/>
                <w:szCs w:val="20"/>
              </w:rPr>
              <w:t>“Probable” = &gt;50% likely</w:t>
            </w:r>
          </w:p>
        </w:tc>
      </w:tr>
      <w:tr w:rsidR="008A43CF" w14:paraId="336442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26B" w14:textId="77777777" w:rsidR="008A43CF" w:rsidRDefault="00000000">
            <w:r>
              <w:rPr>
                <w:color w:val="1A1A2E"/>
                <w:sz w:val="20"/>
                <w:szCs w:val="20"/>
              </w:rPr>
              <w:t>Impairment reversals</w:t>
            </w:r>
          </w:p>
        </w:tc>
        <w:tc>
          <w:tcPr>
            <w:tcW w:w="368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26C" w14:textId="77777777" w:rsidR="008A43CF" w:rsidRDefault="00000000">
            <w:r>
              <w:rPr>
                <w:color w:val="1A1A2E"/>
                <w:sz w:val="20"/>
                <w:szCs w:val="20"/>
              </w:rPr>
              <w:t>Not permitted.</w:t>
            </w:r>
          </w:p>
        </w:tc>
        <w:tc>
          <w:tcPr>
            <w:tcW w:w="368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26D" w14:textId="77777777" w:rsidR="008A43CF" w:rsidRDefault="00000000">
            <w:r>
              <w:rPr>
                <w:color w:val="1A1A2E"/>
                <w:sz w:val="20"/>
                <w:szCs w:val="20"/>
              </w:rPr>
              <w:t>Required when conditions improve.</w:t>
            </w:r>
          </w:p>
        </w:tc>
      </w:tr>
      <w:tr w:rsidR="008A43CF" w14:paraId="336442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6F" w14:textId="77777777" w:rsidR="008A43CF" w:rsidRDefault="00000000">
            <w:r>
              <w:rPr>
                <w:color w:val="1A1A2E"/>
                <w:sz w:val="20"/>
                <w:szCs w:val="20"/>
              </w:rPr>
              <w:t>License renewals</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70" w14:textId="77777777" w:rsidR="008A43CF" w:rsidRDefault="00000000">
            <w:r>
              <w:rPr>
                <w:color w:val="1A1A2E"/>
                <w:sz w:val="20"/>
                <w:szCs w:val="20"/>
              </w:rPr>
              <w:t>Cannot recognize before renewal period.</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71" w14:textId="77777777" w:rsidR="008A43CF" w:rsidRDefault="00000000">
            <w:r>
              <w:rPr>
                <w:color w:val="1A1A2E"/>
                <w:sz w:val="20"/>
                <w:szCs w:val="20"/>
              </w:rPr>
              <w:t>May recognize earlier.</w:t>
            </w:r>
          </w:p>
        </w:tc>
      </w:tr>
      <w:tr w:rsidR="008A43CF" w14:paraId="336442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273" w14:textId="77777777" w:rsidR="008A43CF" w:rsidRDefault="00000000">
            <w:r>
              <w:rPr>
                <w:color w:val="1A1A2E"/>
                <w:sz w:val="20"/>
                <w:szCs w:val="20"/>
              </w:rPr>
              <w:t>Interim disclosures</w:t>
            </w:r>
          </w:p>
        </w:tc>
        <w:tc>
          <w:tcPr>
            <w:tcW w:w="368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274" w14:textId="77777777" w:rsidR="008A43CF" w:rsidRDefault="00000000">
            <w:r>
              <w:rPr>
                <w:color w:val="1A1A2E"/>
                <w:sz w:val="20"/>
                <w:szCs w:val="20"/>
              </w:rPr>
              <w:t>More extensive (ASC 270).</w:t>
            </w:r>
          </w:p>
        </w:tc>
        <w:tc>
          <w:tcPr>
            <w:tcW w:w="3680" w:type="dxa"/>
            <w:tcBorders>
              <w:top w:val="single" w:sz="1" w:space="0" w:color="CCCCCC"/>
              <w:left w:val="single" w:sz="1" w:space="0" w:color="CCCCCC"/>
              <w:bottom w:val="single" w:sz="1" w:space="0" w:color="CCCCCC"/>
              <w:right w:val="single" w:sz="1" w:space="0" w:color="CCCCCC"/>
            </w:tcBorders>
            <w:shd w:val="clear" w:color="auto" w:fill="F4F6FA"/>
            <w:tcMar>
              <w:top w:w="60" w:type="dxa"/>
              <w:left w:w="100" w:type="dxa"/>
              <w:bottom w:w="60" w:type="dxa"/>
              <w:right w:w="100" w:type="dxa"/>
            </w:tcMar>
            <w:vAlign w:val="center"/>
          </w:tcPr>
          <w:p w14:paraId="33644275" w14:textId="77777777" w:rsidR="008A43CF" w:rsidRDefault="00000000">
            <w:r>
              <w:rPr>
                <w:color w:val="1A1A2E"/>
                <w:sz w:val="20"/>
                <w:szCs w:val="20"/>
              </w:rPr>
              <w:t>Fewer requirements (IAS 34).</w:t>
            </w:r>
          </w:p>
        </w:tc>
      </w:tr>
      <w:tr w:rsidR="008A43CF" w14:paraId="336442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77" w14:textId="77777777" w:rsidR="008A43CF" w:rsidRDefault="00000000">
            <w:r>
              <w:rPr>
                <w:color w:val="1A1A2E"/>
                <w:sz w:val="20"/>
                <w:szCs w:val="20"/>
              </w:rPr>
              <w:t>Noncash consideration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78" w14:textId="77777777" w:rsidR="008A43CF" w:rsidRDefault="00000000">
            <w:r>
              <w:rPr>
                <w:color w:val="1A1A2E"/>
                <w:sz w:val="20"/>
                <w:szCs w:val="20"/>
              </w:rPr>
              <w:t>Measured at contract inception.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644279" w14:textId="77777777" w:rsidR="008A43CF" w:rsidRDefault="00000000">
            <w:r>
              <w:rPr>
                <w:color w:val="1A1A2E"/>
                <w:sz w:val="20"/>
                <w:szCs w:val="20"/>
              </w:rPr>
              <w:t>No explicit measurement date.</w:t>
            </w:r>
          </w:p>
        </w:tc>
      </w:tr>
    </w:tbl>
    <w:p w14:paraId="3364427B" w14:textId="77777777" w:rsidR="008A43CF" w:rsidRDefault="008A43CF">
      <w:pPr>
        <w:spacing w:after="120"/>
      </w:pPr>
    </w:p>
    <w:p w14:paraId="3364427C" w14:textId="77777777" w:rsidR="008A43CF" w:rsidRDefault="00000000">
      <w:pPr>
        <w:pStyle w:val="Heading2"/>
      </w:pPr>
      <w:r>
        <w:t>E. Why Not Fully Converged?</w:t>
      </w:r>
    </w:p>
    <w:p w14:paraId="3364427D" w14:textId="77777777" w:rsidR="008A43CF" w:rsidRDefault="00000000">
      <w:pPr>
        <w:spacing w:after="120"/>
      </w:pPr>
      <w:r>
        <w:rPr>
          <w:b/>
          <w:bCs/>
          <w:color w:val="1E2761"/>
        </w:rPr>
        <w:t xml:space="preserve">Different meanings of the same words. </w:t>
      </w:r>
      <w:r>
        <w:t>“Probable” already had an established meaning in each framework — ~75–80% in U.S. GAAP, &gt;50% in IFRS. Neither board was willing to redefine a term that runs through hundreds of other standards.</w:t>
      </w:r>
    </w:p>
    <w:p w14:paraId="3364427E" w14:textId="77777777" w:rsidR="008A43CF" w:rsidRDefault="00000000">
      <w:pPr>
        <w:spacing w:after="120"/>
      </w:pPr>
      <w:r>
        <w:rPr>
          <w:b/>
          <w:bCs/>
          <w:color w:val="1E2761"/>
        </w:rPr>
        <w:t xml:space="preserve">Rules vs. principles: different DNA. </w:t>
      </w:r>
      <w:r>
        <w:t>U.S. GAAP historically favored detailed, rules-based guidance; IFRS favored broader principles. The FASB added specific prohibitions reflecting the U.S. tradition of bright-line rules.</w:t>
      </w:r>
    </w:p>
    <w:p w14:paraId="3364427F" w14:textId="77777777" w:rsidR="008A43CF" w:rsidRDefault="00000000">
      <w:pPr>
        <w:spacing w:after="120"/>
      </w:pPr>
      <w:r>
        <w:rPr>
          <w:b/>
          <w:bCs/>
          <w:color w:val="1E2761"/>
        </w:rPr>
        <w:t xml:space="preserve">Different regulatory environments. </w:t>
      </w:r>
      <w:r>
        <w:t>The FASB operates under SEC oversight with Congressional authority. The IASB’s standards are adopted voluntarily by over 140 jurisdictions.</w:t>
      </w:r>
    </w:p>
    <w:p w14:paraId="33644280" w14:textId="77777777" w:rsidR="008A43CF" w:rsidRDefault="00000000">
      <w:pPr>
        <w:spacing w:after="120"/>
      </w:pPr>
      <w:r>
        <w:rPr>
          <w:b/>
          <w:bCs/>
          <w:color w:val="1E2761"/>
        </w:rPr>
        <w:t xml:space="preserve">Pre-existing standards left different gaps. </w:t>
      </w:r>
      <w:r>
        <w:t>U.S. GAAP had dozens of industry-specific revenue standards. IFRS had just two broad standards (IAS 11 and IAS 18). Different starting points led to different compromises.</w:t>
      </w:r>
    </w:p>
    <w:sectPr w:rsidR="008A43C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79E6" w14:textId="77777777" w:rsidR="00727D53" w:rsidRDefault="00727D53">
      <w:r>
        <w:separator/>
      </w:r>
    </w:p>
  </w:endnote>
  <w:endnote w:type="continuationSeparator" w:id="0">
    <w:p w14:paraId="4CE5B02F" w14:textId="77777777" w:rsidR="00727D53" w:rsidRDefault="00727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4282" w14:textId="2E84E1FF" w:rsidR="008A43CF"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F7682">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E9E20" w14:textId="77777777" w:rsidR="00727D53" w:rsidRDefault="00727D53">
      <w:r>
        <w:separator/>
      </w:r>
    </w:p>
  </w:footnote>
  <w:footnote w:type="continuationSeparator" w:id="0">
    <w:p w14:paraId="084D9DA1" w14:textId="77777777" w:rsidR="00727D53" w:rsidRDefault="00727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44281" w14:textId="77777777" w:rsidR="008A43CF" w:rsidRDefault="00000000">
    <w:pPr>
      <w:pBdr>
        <w:bottom w:val="single" w:sz="4" w:space="4" w:color="3A6EA5"/>
      </w:pBdr>
      <w:tabs>
        <w:tab w:val="right" w:pos="9026"/>
      </w:tabs>
    </w:pPr>
    <w:r>
      <w:rPr>
        <w:rFonts w:ascii="Georgia" w:eastAsia="Georgia" w:hAnsi="Georgia" w:cs="Georgia"/>
        <w:color w:val="3A6EA5"/>
        <w:sz w:val="18"/>
        <w:szCs w:val="18"/>
      </w:rPr>
      <w:t>LAW 21474 — Financial Accounting</w:t>
    </w:r>
    <w:r>
      <w:rPr>
        <w:color w:val="666666"/>
        <w:sz w:val="18"/>
        <w:szCs w:val="18"/>
      </w:rPr>
      <w:tab/>
      <w:t>Session 16: Revenue Recognition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A10B2"/>
    <w:multiLevelType w:val="hybridMultilevel"/>
    <w:tmpl w:val="B0F2CAB8"/>
    <w:lvl w:ilvl="0" w:tplc="80106506">
      <w:start w:val="1"/>
      <w:numFmt w:val="bullet"/>
      <w:lvlText w:val="●"/>
      <w:lvlJc w:val="left"/>
      <w:pPr>
        <w:ind w:left="720" w:hanging="360"/>
      </w:pPr>
    </w:lvl>
    <w:lvl w:ilvl="1" w:tplc="19F060EA">
      <w:start w:val="1"/>
      <w:numFmt w:val="bullet"/>
      <w:lvlText w:val="○"/>
      <w:lvlJc w:val="left"/>
      <w:pPr>
        <w:ind w:left="1440" w:hanging="360"/>
      </w:pPr>
    </w:lvl>
    <w:lvl w:ilvl="2" w:tplc="7096BB5E">
      <w:start w:val="1"/>
      <w:numFmt w:val="bullet"/>
      <w:lvlText w:val="■"/>
      <w:lvlJc w:val="left"/>
      <w:pPr>
        <w:ind w:left="2160" w:hanging="360"/>
      </w:pPr>
    </w:lvl>
    <w:lvl w:ilvl="3" w:tplc="7B4C7EFC">
      <w:start w:val="1"/>
      <w:numFmt w:val="bullet"/>
      <w:lvlText w:val="●"/>
      <w:lvlJc w:val="left"/>
      <w:pPr>
        <w:ind w:left="2880" w:hanging="360"/>
      </w:pPr>
    </w:lvl>
    <w:lvl w:ilvl="4" w:tplc="F3FCB92A">
      <w:start w:val="1"/>
      <w:numFmt w:val="bullet"/>
      <w:lvlText w:val="○"/>
      <w:lvlJc w:val="left"/>
      <w:pPr>
        <w:ind w:left="3600" w:hanging="360"/>
      </w:pPr>
    </w:lvl>
    <w:lvl w:ilvl="5" w:tplc="131ED180">
      <w:start w:val="1"/>
      <w:numFmt w:val="bullet"/>
      <w:lvlText w:val="■"/>
      <w:lvlJc w:val="left"/>
      <w:pPr>
        <w:ind w:left="4320" w:hanging="360"/>
      </w:pPr>
    </w:lvl>
    <w:lvl w:ilvl="6" w:tplc="AB1E2904">
      <w:start w:val="1"/>
      <w:numFmt w:val="bullet"/>
      <w:lvlText w:val="●"/>
      <w:lvlJc w:val="left"/>
      <w:pPr>
        <w:ind w:left="5040" w:hanging="360"/>
      </w:pPr>
    </w:lvl>
    <w:lvl w:ilvl="7" w:tplc="DA9AE3AC">
      <w:start w:val="1"/>
      <w:numFmt w:val="bullet"/>
      <w:lvlText w:val="●"/>
      <w:lvlJc w:val="left"/>
      <w:pPr>
        <w:ind w:left="5760" w:hanging="360"/>
      </w:pPr>
    </w:lvl>
    <w:lvl w:ilvl="8" w:tplc="F4CE3D96">
      <w:start w:val="1"/>
      <w:numFmt w:val="bullet"/>
      <w:lvlText w:val="●"/>
      <w:lvlJc w:val="left"/>
      <w:pPr>
        <w:ind w:left="6480" w:hanging="360"/>
      </w:pPr>
    </w:lvl>
  </w:abstractNum>
  <w:abstractNum w:abstractNumId="1" w15:restartNumberingAfterBreak="0">
    <w:nsid w:val="50982F2E"/>
    <w:multiLevelType w:val="hybridMultilevel"/>
    <w:tmpl w:val="754C40F0"/>
    <w:lvl w:ilvl="0" w:tplc="AFA0F8F6">
      <w:start w:val="1"/>
      <w:numFmt w:val="decimal"/>
      <w:lvlText w:val="%1."/>
      <w:lvlJc w:val="left"/>
      <w:pPr>
        <w:ind w:left="720" w:hanging="360"/>
      </w:pPr>
    </w:lvl>
    <w:lvl w:ilvl="1" w:tplc="767AB500">
      <w:numFmt w:val="decimal"/>
      <w:lvlText w:val=""/>
      <w:lvlJc w:val="left"/>
    </w:lvl>
    <w:lvl w:ilvl="2" w:tplc="4AAE5D02">
      <w:numFmt w:val="decimal"/>
      <w:lvlText w:val=""/>
      <w:lvlJc w:val="left"/>
    </w:lvl>
    <w:lvl w:ilvl="3" w:tplc="7F602726">
      <w:numFmt w:val="decimal"/>
      <w:lvlText w:val=""/>
      <w:lvlJc w:val="left"/>
    </w:lvl>
    <w:lvl w:ilvl="4" w:tplc="495CCC2E">
      <w:numFmt w:val="decimal"/>
      <w:lvlText w:val=""/>
      <w:lvlJc w:val="left"/>
    </w:lvl>
    <w:lvl w:ilvl="5" w:tplc="91FC053A">
      <w:numFmt w:val="decimal"/>
      <w:lvlText w:val=""/>
      <w:lvlJc w:val="left"/>
    </w:lvl>
    <w:lvl w:ilvl="6" w:tplc="CAF49EF4">
      <w:numFmt w:val="decimal"/>
      <w:lvlText w:val=""/>
      <w:lvlJc w:val="left"/>
    </w:lvl>
    <w:lvl w:ilvl="7" w:tplc="A290F270">
      <w:numFmt w:val="decimal"/>
      <w:lvlText w:val=""/>
      <w:lvlJc w:val="left"/>
    </w:lvl>
    <w:lvl w:ilvl="8" w:tplc="52109448">
      <w:numFmt w:val="decimal"/>
      <w:lvlText w:val=""/>
      <w:lvlJc w:val="left"/>
    </w:lvl>
  </w:abstractNum>
  <w:abstractNum w:abstractNumId="2" w15:restartNumberingAfterBreak="0">
    <w:nsid w:val="76DB10A0"/>
    <w:multiLevelType w:val="hybridMultilevel"/>
    <w:tmpl w:val="F66290F8"/>
    <w:lvl w:ilvl="0" w:tplc="1CC070E4">
      <w:start w:val="1"/>
      <w:numFmt w:val="bullet"/>
      <w:lvlText w:val="•"/>
      <w:lvlJc w:val="left"/>
      <w:pPr>
        <w:ind w:left="720" w:hanging="360"/>
      </w:pPr>
    </w:lvl>
    <w:lvl w:ilvl="1" w:tplc="71F65812">
      <w:numFmt w:val="decimal"/>
      <w:lvlText w:val=""/>
      <w:lvlJc w:val="left"/>
    </w:lvl>
    <w:lvl w:ilvl="2" w:tplc="408CB7AA">
      <w:numFmt w:val="decimal"/>
      <w:lvlText w:val=""/>
      <w:lvlJc w:val="left"/>
    </w:lvl>
    <w:lvl w:ilvl="3" w:tplc="8734779C">
      <w:numFmt w:val="decimal"/>
      <w:lvlText w:val=""/>
      <w:lvlJc w:val="left"/>
    </w:lvl>
    <w:lvl w:ilvl="4" w:tplc="2C16C0E2">
      <w:numFmt w:val="decimal"/>
      <w:lvlText w:val=""/>
      <w:lvlJc w:val="left"/>
    </w:lvl>
    <w:lvl w:ilvl="5" w:tplc="4F4A47B6">
      <w:numFmt w:val="decimal"/>
      <w:lvlText w:val=""/>
      <w:lvlJc w:val="left"/>
    </w:lvl>
    <w:lvl w:ilvl="6" w:tplc="7C625F50">
      <w:numFmt w:val="decimal"/>
      <w:lvlText w:val=""/>
      <w:lvlJc w:val="left"/>
    </w:lvl>
    <w:lvl w:ilvl="7" w:tplc="15FA9086">
      <w:numFmt w:val="decimal"/>
      <w:lvlText w:val=""/>
      <w:lvlJc w:val="left"/>
    </w:lvl>
    <w:lvl w:ilvl="8" w:tplc="D4EE369E">
      <w:numFmt w:val="decimal"/>
      <w:lvlText w:val=""/>
      <w:lvlJc w:val="left"/>
    </w:lvl>
  </w:abstractNum>
  <w:num w:numId="1" w16cid:durableId="570584737">
    <w:abstractNumId w:val="0"/>
    <w:lvlOverride w:ilvl="0">
      <w:startOverride w:val="1"/>
    </w:lvlOverride>
  </w:num>
  <w:num w:numId="2" w16cid:durableId="39138217">
    <w:abstractNumId w:val="1"/>
    <w:lvlOverride w:ilvl="0">
      <w:startOverride w:val="1"/>
    </w:lvlOverride>
  </w:num>
  <w:num w:numId="3" w16cid:durableId="9531002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3CF"/>
    <w:rsid w:val="002F7682"/>
    <w:rsid w:val="00727D53"/>
    <w:rsid w:val="008A43CF"/>
    <w:rsid w:val="00F30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44153"/>
  <w15:docId w15:val="{22E90AFB-6750-3343-A6F3-BAC297E5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Georgia" w:eastAsia="Georgia" w:hAnsi="Georgia" w:cs="Georgia"/>
      <w:b/>
      <w:bCs/>
      <w:color w:val="1E2761"/>
      <w:sz w:val="32"/>
      <w:szCs w:val="32"/>
    </w:rPr>
  </w:style>
  <w:style w:type="paragraph" w:styleId="Heading2">
    <w:name w:val="heading 2"/>
    <w:uiPriority w:val="9"/>
    <w:unhideWhenUsed/>
    <w:qFormat/>
    <w:pPr>
      <w:spacing w:before="240" w:after="80"/>
      <w:outlineLvl w:val="1"/>
    </w:pPr>
    <w:rPr>
      <w:rFonts w:ascii="Georgia" w:eastAsia="Georgia" w:hAnsi="Georgia" w:cs="Georgia"/>
      <w:b/>
      <w:bCs/>
      <w:color w:val="3A6E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6475</Words>
  <Characters>37421</Characters>
  <Application>Microsoft Office Word</Application>
  <DocSecurity>0</DocSecurity>
  <Lines>631</Lines>
  <Paragraphs>266</Paragraphs>
  <ScaleCrop>false</ScaleCrop>
  <Company/>
  <LinksUpToDate>false</LinksUpToDate>
  <CharactersWithSpaces>43736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2</cp:revision>
  <cp:lastPrinted>2026-03-09T19:05:00Z</cp:lastPrinted>
  <dcterms:created xsi:type="dcterms:W3CDTF">2026-03-09T18:29:00Z</dcterms:created>
  <dcterms:modified xsi:type="dcterms:W3CDTF">2026-03-09T19:05:00Z</dcterms:modified>
</cp:coreProperties>
</file>