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36"/>
        </w:rPr>
        <w:t>Claim Ledger</w:t>
      </w:r>
    </w:p>
    <w:p>
      <w:pPr>
        <w:pStyle w:val="Heading1"/>
      </w:pPr>
      <w:r>
        <w:t>Claim Ledger for Chapter.docx</w:t>
      </w:r>
    </w:p>
    <w:p>
      <w:r>
        <w:t>Working file: /Users/ra1/QuantumAccounting/BookChapter/sources/Chapter.original.docx</w:t>
      </w:r>
    </w:p>
    <w:p>
      <w:r>
        <w:t>Extracted chapter text: /Users/ra1/QuantumAccounting/BookChapter/extracted/Chapter.original.extracted.md</w:t>
      </w:r>
    </w:p>
    <w:p>
      <w:pPr>
        <w:pStyle w:val="Heading2"/>
      </w:pPr>
      <w:r>
        <w:t>Sources Reviewed</w:t>
      </w:r>
    </w:p>
    <w:p>
      <w:pPr>
        <w:pStyle w:val="ListBullet"/>
      </w:pPr>
      <w:r>
        <w:t>Quantum programming source: /Users/ra1/QuantumAccounting/BookChapter/sources/Quantum Programming January 19 2026.docx</w:t>
      </w:r>
    </w:p>
    <w:p>
      <w:pPr>
        <w:pStyle w:val="ListBullet"/>
      </w:pPr>
      <w:r>
        <w:t>Odd-cycle source: /Users/ra1/QuantumAccounting/BookChapter/sources/Entanglement and Odd Cycle Game draft 02-12-2026.docx</w:t>
      </w:r>
    </w:p>
    <w:p>
      <w:pPr>
        <w:pStyle w:val="ListBullet"/>
      </w:pPr>
      <w:r>
        <w:t>Information property source: /Users/ra1/QuantumAccounting/BookChapter/sources/Info-Property-Double-Entry-202503.docx</w:t>
      </w:r>
    </w:p>
    <w:p>
      <w:pPr>
        <w:pStyle w:val="ListBullet"/>
      </w:pPr>
      <w:r>
        <w:t>Existing quantum-programming technical review: /Users/ra1/QuantumAccounting/QuantumProgramming/quantum_programming_review.txt</w:t>
      </w:r>
    </w:p>
    <w:p>
      <w:pPr>
        <w:pStyle w:val="ListBullet"/>
      </w:pPr>
      <w:r>
        <w:t>Existing odd-cycle review notes: /Users/ra1/Library/CloudStorage/OneDrive-YaleUniversity/AFLS_Paper/LinFellingham/Review_Suggestions.md</w:t>
      </w:r>
    </w:p>
    <w:p>
      <w:pPr>
        <w:pStyle w:val="ListBullet"/>
      </w:pPr>
      <w:r>
        <w:t>Information-property discussion notes in /Users/ra1/QuantumAccounting/InfoPropDoubleEntry</w:t>
      </w:r>
    </w:p>
    <w:p>
      <w:pPr>
        <w:pStyle w:val="ListBullet"/>
      </w:pPr>
      <w:r>
        <w:t>External primary checks: Aharonov arXiv:quant-ph/0301040 and Shi arXiv:quant-ph/0205115</w:t>
      </w:r>
    </w:p>
    <w:p>
      <w:pPr>
        <w:pStyle w:val="ListBullet"/>
      </w:pPr>
      <w:r>
        <w:t>External odd-cycle check: Drmota et al. arXiv:2406.08412</w:t>
      </w:r>
    </w:p>
    <w:p>
      <w:pPr>
        <w:pStyle w:val="Heading2"/>
      </w:pPr>
      <w:r>
        <w:t>Status Key</w:t>
      </w:r>
    </w:p>
    <w:p>
      <w:pPr>
        <w:pStyle w:val="ListBullet"/>
      </w:pPr>
      <w:r>
        <w:t>Supported: source result appears to justify the claim as written or with only ordinary citation support.</w:t>
      </w:r>
    </w:p>
    <w:p>
      <w:pPr>
        <w:pStyle w:val="ListBullet"/>
      </w:pPr>
      <w:r>
        <w:t>Revise: underlying idea is usable, but current wording is too broad, imprecise, or underexplained.</w:t>
      </w:r>
    </w:p>
    <w:p>
      <w:pPr>
        <w:pStyle w:val="ListBullet"/>
      </w:pPr>
      <w:r>
        <w:t>Verify: cited source was not in the working packet or the extracted files omit needed formal details.</w:t>
      </w:r>
    </w:p>
    <w:p>
      <w:pPr>
        <w:pStyle w:val="ListBullet"/>
      </w:pPr>
      <w:r>
        <w:t>Remove or Recast: current claim is likely misleading unless substantially reframed.</w:t>
      </w:r>
    </w:p>
    <w:p>
      <w:pPr>
        <w:pStyle w:val="Heading2"/>
      </w:pPr>
      <w:r>
        <w:t>Ledger</w:t>
      </w:r>
    </w:p>
    <w:p>
      <w:pPr>
        <w:pStyle w:val="Heading3"/>
      </w:pPr>
      <w:r>
        <w:t>C01: The double-entry system remains relevant in the quantum era because its structure can repr</w:t>
      </w:r>
    </w:p>
    <w:p>
      <w:r>
        <w:rPr>
          <w:b/>
        </w:rPr>
        <w:t xml:space="preserve">Chapter Location: </w:t>
      </w:r>
      <w:r>
        <w:t>Ch. lines 19-23</w:t>
      </w:r>
    </w:p>
    <w:p>
      <w:r>
        <w:rPr>
          <w:b/>
        </w:rPr>
        <w:t xml:space="preserve">Claim: </w:t>
      </w:r>
      <w:r>
        <w:t>The double-entry system remains relevant in the quantum era because its structure can represent fundamental quantum operations.</w:t>
      </w:r>
    </w:p>
    <w:p>
      <w:r>
        <w:rPr>
          <w:b/>
        </w:rPr>
        <w:t xml:space="preserve">Support Check: </w:t>
      </w:r>
      <w:r>
        <w:t>Supported by the quantum-programming source, but only as a representation or notation, not as physical quantum computation.</w:t>
      </w:r>
    </w:p>
    <w:p>
      <w:r>
        <w:rPr>
          <w:b/>
        </w:rPr>
        <w:t xml:space="preserve">Status: </w:t>
      </w:r>
      <w:r>
        <w:t>Revise</w:t>
      </w:r>
    </w:p>
    <w:p>
      <w:r>
        <w:rPr>
          <w:b/>
        </w:rPr>
        <w:t xml:space="preserve">Revision Action: </w:t>
      </w:r>
      <w:r>
        <w:t>Keep the thesis, but state that double-entry provides a classical representational language for quantum information structures.</w:t>
      </w:r>
    </w:p>
    <w:p>
      <w:pPr>
        <w:pStyle w:val="Heading3"/>
      </w:pPr>
      <w:r>
        <w:t>C02: The advantage of quantum computing highlights advantages of double-entry over single-entry</w:t>
      </w:r>
    </w:p>
    <w:p>
      <w:r>
        <w:rPr>
          <w:b/>
        </w:rPr>
        <w:t xml:space="preserve">Chapter Location: </w:t>
      </w:r>
      <w:r>
        <w:t>Ch. lines 23, 235</w:t>
      </w:r>
    </w:p>
    <w:p>
      <w:r>
        <w:rPr>
          <w:b/>
        </w:rPr>
        <w:t xml:space="preserve">Claim: </w:t>
      </w:r>
      <w:r>
        <w:t>The advantage of quantum computing highlights advantages of double-entry over single-entry.</w:t>
      </w:r>
    </w:p>
    <w:p>
      <w:r>
        <w:rPr>
          <w:b/>
        </w:rPr>
        <w:t xml:space="preserve">Support Check: </w:t>
      </w:r>
      <w:r>
        <w:t>The analogy is promising but not automatically entailed by the gate representation. It is supported mainly by the channel-capacity and odd-cycle models.</w:t>
      </w:r>
    </w:p>
    <w:p>
      <w:r>
        <w:rPr>
          <w:b/>
        </w:rPr>
        <w:t xml:space="preserve">Status: </w:t>
      </w:r>
      <w:r>
        <w:t>Revise</w:t>
      </w:r>
    </w:p>
    <w:p>
      <w:r>
        <w:rPr>
          <w:b/>
        </w:rPr>
        <w:t xml:space="preserve">Revision Action: </w:t>
      </w:r>
      <w:r>
        <w:t>Make the bridge explicit: "in stylized information-processing models, the relational structure of double entry can outperform scalar/single-entry representations."</w:t>
      </w:r>
    </w:p>
    <w:p>
      <w:pPr>
        <w:pStyle w:val="Heading3"/>
      </w:pPr>
      <w:r>
        <w:t>C03: Decision-making, accounting numbers, and entropy are alternative representations of the sa</w:t>
      </w:r>
    </w:p>
    <w:p>
      <w:r>
        <w:rPr>
          <w:b/>
        </w:rPr>
        <w:t xml:space="preserve">Chapter Location: </w:t>
      </w:r>
      <w:r>
        <w:t>Ch. lines 25, 37-65</w:t>
      </w:r>
    </w:p>
    <w:p>
      <w:r>
        <w:rPr>
          <w:b/>
        </w:rPr>
        <w:t xml:space="preserve">Claim: </w:t>
      </w:r>
      <w:r>
        <w:t>Decision-making, accounting numbers, and entropy are alternative representations of the same activities.</w:t>
      </w:r>
    </w:p>
    <w:p>
      <w:r>
        <w:rPr>
          <w:b/>
        </w:rPr>
        <w:t xml:space="preserve">Support Check: </w:t>
      </w:r>
      <w:r>
        <w:t>This cites Fellingham et al. 2022, which is not in the source packet. The chapter's equations were not extracted clearly enough to verify.</w:t>
      </w:r>
    </w:p>
    <w:p>
      <w:r>
        <w:rPr>
          <w:b/>
        </w:rPr>
        <w:t xml:space="preserve">Status: </w:t>
      </w:r>
      <w:r>
        <w:t>Verify</w:t>
      </w:r>
    </w:p>
    <w:p>
      <w:r>
        <w:rPr>
          <w:b/>
        </w:rPr>
        <w:t xml:space="preserve">Revision Action: </w:t>
      </w:r>
      <w:r>
        <w:t>Treat this as prior literature, not as something the chapter proves. Add a plain-English bridge before the equations.</w:t>
      </w:r>
    </w:p>
    <w:p>
      <w:pPr>
        <w:pStyle w:val="Heading3"/>
      </w:pPr>
      <w:r>
        <w:t>C04: Kelly/log-growth/accounting equivalence supports the information-science framing.</w:t>
      </w:r>
    </w:p>
    <w:p>
      <w:r>
        <w:rPr>
          <w:b/>
        </w:rPr>
        <w:t xml:space="preserve">Chapter Location: </w:t>
      </w:r>
      <w:r>
        <w:t>Ch. lines 43-55</w:t>
      </w:r>
    </w:p>
    <w:p>
      <w:r>
        <w:rPr>
          <w:b/>
        </w:rPr>
        <w:t xml:space="preserve">Claim: </w:t>
      </w:r>
      <w:r>
        <w:t>Kelly/log-growth/accounting equivalence supports the information-science framing.</w:t>
      </w:r>
    </w:p>
    <w:p>
      <w:r>
        <w:rPr>
          <w:b/>
        </w:rPr>
        <w:t xml:space="preserve">Support Check: </w:t>
      </w:r>
      <w:r>
        <w:t>Plausible, but the formal equations are missing from extraction and the underlying 2022 source is not included.</w:t>
      </w:r>
    </w:p>
    <w:p>
      <w:r>
        <w:rPr>
          <w:b/>
        </w:rPr>
        <w:t xml:space="preserve">Status: </w:t>
      </w:r>
      <w:r>
        <w:t>Verify</w:t>
      </w:r>
    </w:p>
    <w:p>
      <w:r>
        <w:rPr>
          <w:b/>
        </w:rPr>
        <w:t xml:space="preserve">Revision Action: </w:t>
      </w:r>
      <w:r>
        <w:t>Either provide a short derivation from the cited source or move detail to a footnote and keep the main text intuitive.</w:t>
      </w:r>
    </w:p>
    <w:p>
      <w:pPr>
        <w:pStyle w:val="Heading3"/>
      </w:pPr>
      <w:r>
        <w:t>C05: The equivalence extends to quantum probabilities.</w:t>
      </w:r>
    </w:p>
    <w:p>
      <w:r>
        <w:rPr>
          <w:b/>
        </w:rPr>
        <w:t xml:space="preserve">Chapter Location: </w:t>
      </w:r>
      <w:r>
        <w:t>Ch. line 65</w:t>
      </w:r>
    </w:p>
    <w:p>
      <w:r>
        <w:rPr>
          <w:b/>
        </w:rPr>
        <w:t xml:space="preserve">Claim: </w:t>
      </w:r>
      <w:r>
        <w:t>The equivalence extends to quantum probabilities.</w:t>
      </w:r>
    </w:p>
    <w:p>
      <w:r>
        <w:rPr>
          <w:b/>
        </w:rPr>
        <w:t xml:space="preserve">Support Check: </w:t>
      </w:r>
      <w:r>
        <w:t>Not verified from the packet. This is a high-risk bridge because quantum measurement is not just Bayesian updating.</w:t>
      </w:r>
    </w:p>
    <w:p>
      <w:r>
        <w:rPr>
          <w:b/>
        </w:rPr>
        <w:t xml:space="preserve">Status: </w:t>
      </w:r>
      <w:r>
        <w:t>Verify</w:t>
      </w:r>
    </w:p>
    <w:p>
      <w:r>
        <w:rPr>
          <w:b/>
        </w:rPr>
        <w:t xml:space="preserve">Revision Action: </w:t>
      </w:r>
      <w:r>
        <w:t>Use cautious wording: "the cited work argues..." and distinguish Bayesian conditionalization from quantum state update.</w:t>
      </w:r>
    </w:p>
    <w:p>
      <w:pPr>
        <w:pStyle w:val="Heading3"/>
      </w:pPr>
      <w:r>
        <w:t>C06: Double-entry can process classical probability rules and may process quantum probability r</w:t>
      </w:r>
    </w:p>
    <w:p>
      <w:r>
        <w:rPr>
          <w:b/>
        </w:rPr>
        <w:t xml:space="preserve">Chapter Location: </w:t>
      </w:r>
      <w:r>
        <w:t>Ch. lines 67-69</w:t>
      </w:r>
    </w:p>
    <w:p>
      <w:r>
        <w:rPr>
          <w:b/>
        </w:rPr>
        <w:t xml:space="preserve">Claim: </w:t>
      </w:r>
      <w:r>
        <w:t>Double-entry can process classical probability rules and may process quantum probability rules.</w:t>
      </w:r>
    </w:p>
    <w:p>
      <w:r>
        <w:rPr>
          <w:b/>
        </w:rPr>
        <w:t xml:space="preserve">Support Check: </w:t>
      </w:r>
      <w:r>
        <w:t>"May process" is safer than "can process." The quantum-programming source uses accounting notation plus external amplitude bookkeeping.</w:t>
      </w:r>
    </w:p>
    <w:p>
      <w:r>
        <w:rPr>
          <w:b/>
        </w:rPr>
        <w:t xml:space="preserve">Status: </w:t>
      </w:r>
      <w:r>
        <w:t>Revise</w:t>
      </w:r>
    </w:p>
    <w:p>
      <w:r>
        <w:rPr>
          <w:b/>
        </w:rPr>
        <w:t xml:space="preserve">Revision Action: </w:t>
      </w:r>
      <w:r>
        <w:t>Say the framework can encode selected quantum-information structures, with probabilities carried by separately tracked amplitudes.</w:t>
      </w:r>
    </w:p>
    <w:p>
      <w:pPr>
        <w:pStyle w:val="Heading3"/>
      </w:pPr>
      <w:r>
        <w:t>C07: T-accounts encode qubit basis states and journal entries encode X, Z, S, and T-style opera</w:t>
      </w:r>
    </w:p>
    <w:p>
      <w:r>
        <w:rPr>
          <w:b/>
        </w:rPr>
        <w:t xml:space="preserve">Chapter Location: </w:t>
      </w:r>
      <w:r>
        <w:t>Ch. lines 73-93</w:t>
      </w:r>
    </w:p>
    <w:p>
      <w:r>
        <w:rPr>
          <w:b/>
        </w:rPr>
        <w:t xml:space="preserve">Claim: </w:t>
      </w:r>
      <w:r>
        <w:t>T-accounts encode qubit basis states and journal entries encode X, Z, S, and T-style operations.</w:t>
      </w:r>
    </w:p>
    <w:p>
      <w:r>
        <w:rPr>
          <w:b/>
        </w:rPr>
        <w:t xml:space="preserve">Support Check: </w:t>
      </w:r>
      <w:r>
        <w:t>Supported by quantum-programming source lines 63-105.</w:t>
      </w:r>
    </w:p>
    <w:p>
      <w:r>
        <w:rPr>
          <w:b/>
        </w:rPr>
        <w:t xml:space="preserve">Status: </w:t>
      </w:r>
      <w:r>
        <w:t>Supported</w:t>
      </w:r>
    </w:p>
    <w:p>
      <w:r>
        <w:rPr>
          <w:b/>
        </w:rPr>
        <w:t xml:space="preserve">Revision Action: </w:t>
      </w:r>
      <w:r>
        <w:t>Retain, but add a roadmap table so nonexperts can track the mapping.</w:t>
      </w:r>
    </w:p>
    <w:p>
      <w:pPr>
        <w:pStyle w:val="Heading3"/>
      </w:pPr>
      <w:r>
        <w:t>C08: Quantum gates are reversible unitary operations; journal entries preserve information anal</w:t>
      </w:r>
    </w:p>
    <w:p>
      <w:r>
        <w:rPr>
          <w:b/>
        </w:rPr>
        <w:t xml:space="preserve">Chapter Location: </w:t>
      </w:r>
      <w:r>
        <w:t>Ch. lines 81-93</w:t>
      </w:r>
    </w:p>
    <w:p>
      <w:r>
        <w:rPr>
          <w:b/>
        </w:rPr>
        <w:t xml:space="preserve">Claim: </w:t>
      </w:r>
      <w:r>
        <w:t>Quantum gates are reversible unitary operations; journal entries preserve information analogously.</w:t>
      </w:r>
    </w:p>
    <w:p>
      <w:r>
        <w:rPr>
          <w:b/>
        </w:rPr>
        <w:t xml:space="preserve">Support Check: </w:t>
      </w:r>
      <w:r>
        <w:t>Reversibility claim is broadly correct for closed quantum systems, but reversibility is not unique to quantum computation.</w:t>
      </w:r>
    </w:p>
    <w:p>
      <w:r>
        <w:rPr>
          <w:b/>
        </w:rPr>
        <w:t xml:space="preserve">Status: </w:t>
      </w:r>
      <w:r>
        <w:t>Revise</w:t>
      </w:r>
    </w:p>
    <w:p>
      <w:r>
        <w:rPr>
          <w:b/>
        </w:rPr>
        <w:t xml:space="preserve">Revision Action: </w:t>
      </w:r>
      <w:r>
        <w:t>Avoid saying reversibility explains quantum superiority. Say it is one shared structural feature of unitary circuits and reversible accounting transformations.</w:t>
      </w:r>
    </w:p>
    <w:p>
      <w:pPr>
        <w:pStyle w:val="Heading3"/>
      </w:pPr>
      <w:r>
        <w:t>C09: The Hadamard gate creates superposition; accounting notation stacks E and A rows.</w:t>
      </w:r>
    </w:p>
    <w:p>
      <w:r>
        <w:rPr>
          <w:b/>
        </w:rPr>
        <w:t xml:space="preserve">Chapter Location: </w:t>
      </w:r>
      <w:r>
        <w:t>Ch. lines 97-105</w:t>
      </w:r>
    </w:p>
    <w:p>
      <w:r>
        <w:rPr>
          <w:b/>
        </w:rPr>
        <w:t xml:space="preserve">Claim: </w:t>
      </w:r>
      <w:r>
        <w:t>The Hadamard gate creates superposition; accounting notation stacks E and A rows.</w:t>
      </w:r>
    </w:p>
    <w:p>
      <w:r>
        <w:rPr>
          <w:b/>
        </w:rPr>
        <w:t xml:space="preserve">Support Check: </w:t>
      </w:r>
      <w:r>
        <w:t>Supported, but the accounting notation is incomplete unless amplitudes and normalization are specified.</w:t>
      </w:r>
    </w:p>
    <w:p>
      <w:r>
        <w:rPr>
          <w:b/>
        </w:rPr>
        <w:t xml:space="preserve">Status: </w:t>
      </w:r>
      <w:r>
        <w:t>Revise</w:t>
      </w:r>
    </w:p>
    <w:p>
      <w:r>
        <w:rPr>
          <w:b/>
        </w:rPr>
        <w:t xml:space="preserve">Revision Action: </w:t>
      </w:r>
      <w:r>
        <w:t>Add "the account notation records basis-state structure while amplitudes are recorded separately."</w:t>
      </w:r>
    </w:p>
    <w:p>
      <w:pPr>
        <w:pStyle w:val="Heading3"/>
      </w:pPr>
      <w:r>
        <w:t>C10: Superposition allows information to be carried by two financial statements simultaneously.</w:t>
      </w:r>
    </w:p>
    <w:p>
      <w:r>
        <w:rPr>
          <w:b/>
        </w:rPr>
        <w:t xml:space="preserve">Chapter Location: </w:t>
      </w:r>
      <w:r>
        <w:t>Ch. line 105</w:t>
      </w:r>
    </w:p>
    <w:p>
      <w:r>
        <w:rPr>
          <w:b/>
        </w:rPr>
        <w:t xml:space="preserve">Claim: </w:t>
      </w:r>
      <w:r>
        <w:t>Superposition allows information to be carried by two financial statements simultaneously.</w:t>
      </w:r>
    </w:p>
    <w:p>
      <w:r>
        <w:rPr>
          <w:b/>
        </w:rPr>
        <w:t xml:space="preserve">Support Check: </w:t>
      </w:r>
      <w:r>
        <w:t>This is an interpretive analogy, not a literal quantum statement about financial statements.</w:t>
      </w:r>
    </w:p>
    <w:p>
      <w:r>
        <w:rPr>
          <w:b/>
        </w:rPr>
        <w:t xml:space="preserve">Status: </w:t>
      </w:r>
      <w:r>
        <w:t>Revise</w:t>
      </w:r>
    </w:p>
    <w:p>
      <w:r>
        <w:rPr>
          <w:b/>
        </w:rPr>
        <w:t xml:space="preserve">Revision Action: </w:t>
      </w:r>
      <w:r>
        <w:t>Recast as: "the notation represents information across multiple linked statement rows, analogous to a superposition over basis states."</w:t>
      </w:r>
    </w:p>
    <w:p>
      <w:pPr>
        <w:pStyle w:val="Heading3"/>
      </w:pPr>
      <w:r>
        <w:t>C11: Composite systems are represented by concatenated accounts or tensor products.</w:t>
      </w:r>
    </w:p>
    <w:p>
      <w:r>
        <w:rPr>
          <w:b/>
        </w:rPr>
        <w:t xml:space="preserve">Chapter Location: </w:t>
      </w:r>
      <w:r>
        <w:t>Ch. lines 109-111</w:t>
      </w:r>
    </w:p>
    <w:p>
      <w:r>
        <w:rPr>
          <w:b/>
        </w:rPr>
        <w:t xml:space="preserve">Claim: </w:t>
      </w:r>
      <w:r>
        <w:t>Composite systems are represented by concatenated accounts or tensor products.</w:t>
      </w:r>
    </w:p>
    <w:p>
      <w:r>
        <w:rPr>
          <w:b/>
        </w:rPr>
        <w:t xml:space="preserve">Support Check: </w:t>
      </w:r>
      <w:r>
        <w:t>Must be stated carefully. In quantum mechanics, the state space of a composite system is the tensor product of state spaces; not every state factors as a tensor product.</w:t>
      </w:r>
    </w:p>
    <w:p>
      <w:r>
        <w:rPr>
          <w:b/>
        </w:rPr>
        <w:t xml:space="preserve">Status: </w:t>
      </w:r>
      <w:r>
        <w:t>Revise</w:t>
      </w:r>
    </w:p>
    <w:p>
      <w:r>
        <w:rPr>
          <w:b/>
        </w:rPr>
        <w:t xml:space="preserve">Revision Action: </w:t>
      </w:r>
      <w:r>
        <w:t>Correct the postulate language. Product basis states can be concatenated, but entangled states are superpositions of product states.</w:t>
      </w:r>
    </w:p>
    <w:p>
      <w:pPr>
        <w:pStyle w:val="Heading3"/>
      </w:pPr>
      <w:r>
        <w:t>C12: CNOT transforms AEA into AAA when the first account controls the second.</w:t>
      </w:r>
    </w:p>
    <w:p>
      <w:r>
        <w:rPr>
          <w:b/>
        </w:rPr>
        <w:t xml:space="preserve">Chapter Location: </w:t>
      </w:r>
      <w:r>
        <w:t>Ch. line 111</w:t>
      </w:r>
    </w:p>
    <w:p>
      <w:r>
        <w:rPr>
          <w:b/>
        </w:rPr>
        <w:t xml:space="preserve">Claim: </w:t>
      </w:r>
      <w:r>
        <w:t>CNOT transforms AEA into AAA when the first account controls the second.</w:t>
      </w:r>
    </w:p>
    <w:p>
      <w:r>
        <w:rPr>
          <w:b/>
        </w:rPr>
        <w:t xml:space="preserve">Support Check: </w:t>
      </w:r>
      <w:r>
        <w:t>This particular example is consistent with E = 0, A = 1, control = first, target = second.</w:t>
      </w:r>
    </w:p>
    <w:p>
      <w:r>
        <w:rPr>
          <w:b/>
        </w:rPr>
        <w:t xml:space="preserve">Status: </w:t>
      </w:r>
      <w:r>
        <w:t>Supported</w:t>
      </w:r>
    </w:p>
    <w:p>
      <w:r>
        <w:rPr>
          <w:b/>
        </w:rPr>
        <w:t xml:space="preserve">Revision Action: </w:t>
      </w:r>
      <w:r>
        <w:t>Retain. Avoid inheriting the reversed CNOT example flagged in the quantum-programming source review.</w:t>
      </w:r>
    </w:p>
    <w:p>
      <w:pPr>
        <w:pStyle w:val="Heading3"/>
      </w:pPr>
      <w:r>
        <w:t>C13: Toffoli is universal for classical reversible computation and Toffoli plus Hadamard is uni</w:t>
      </w:r>
    </w:p>
    <w:p>
      <w:r>
        <w:rPr>
          <w:b/>
        </w:rPr>
        <w:t xml:space="preserve">Chapter Location: </w:t>
      </w:r>
      <w:r>
        <w:t>Ch. lines 117-119</w:t>
      </w:r>
    </w:p>
    <w:p>
      <w:r>
        <w:rPr>
          <w:b/>
        </w:rPr>
        <w:t xml:space="preserve">Claim: </w:t>
      </w:r>
      <w:r>
        <w:t>Toffoli is universal for classical reversible computation and Toffoli plus Hadamard is universal for quantum computation.</w:t>
      </w:r>
    </w:p>
    <w:p>
      <w:r>
        <w:rPr>
          <w:b/>
        </w:rPr>
        <w:t xml:space="preserve">Support Check: </w:t>
      </w:r>
      <w:r>
        <w:t>Supported by Aharonov arXiv:quant-ph/0301040 and Shi arXiv:quant-ph/0205115.</w:t>
      </w:r>
    </w:p>
    <w:p>
      <w:r>
        <w:rPr>
          <w:b/>
        </w:rPr>
        <w:t xml:space="preserve">Status: </w:t>
      </w:r>
      <w:r>
        <w:t>Supported</w:t>
      </w:r>
    </w:p>
    <w:p>
      <w:r>
        <w:rPr>
          <w:b/>
        </w:rPr>
        <w:t xml:space="preserve">Revision Action: </w:t>
      </w:r>
      <w:r>
        <w:t>Retain exact claim, but add "approximate arbitrary unitaries/circuits to arbitrary accuracy" if using the quantum universality claim.</w:t>
      </w:r>
    </w:p>
    <w:p>
      <w:pPr>
        <w:pStyle w:val="Heading3"/>
      </w:pPr>
      <w:r>
        <w:t>C14: Since double-entry encodes H and Toffoli, it is universal for classical and quantum comput</w:t>
      </w:r>
    </w:p>
    <w:p>
      <w:r>
        <w:rPr>
          <w:b/>
        </w:rPr>
        <w:t xml:space="preserve">Chapter Location: </w:t>
      </w:r>
      <w:r>
        <w:t>Ch. line 119</w:t>
      </w:r>
    </w:p>
    <w:p>
      <w:r>
        <w:rPr>
          <w:b/>
        </w:rPr>
        <w:t xml:space="preserve">Claim: </w:t>
      </w:r>
      <w:r>
        <w:t>Since double-entry encodes H and Toffoli, it is universal for classical and quantum computation.</w:t>
      </w:r>
    </w:p>
    <w:p>
      <w:r>
        <w:rPr>
          <w:b/>
        </w:rPr>
        <w:t xml:space="preserve">Support Check: </w:t>
      </w:r>
      <w:r>
        <w:t>This is too strong as written. The source supports representational encoding of a universal gate set, not that the double-entry system itself is a computational device.</w:t>
      </w:r>
    </w:p>
    <w:p>
      <w:r>
        <w:rPr>
          <w:b/>
        </w:rPr>
        <w:t xml:space="preserve">Status: </w:t>
      </w:r>
      <w:r>
        <w:t>Revise</w:t>
      </w:r>
    </w:p>
    <w:p>
      <w:r>
        <w:rPr>
          <w:b/>
        </w:rPr>
        <w:t xml:space="preserve">Revision Action: </w:t>
      </w:r>
      <w:r>
        <w:t>Say "the framework can represent a universal gate set" and "therefore has the representational vocabulary needed to describe universal quantum computation."</w:t>
      </w:r>
    </w:p>
    <w:p>
      <w:pPr>
        <w:pStyle w:val="Heading3"/>
      </w:pPr>
      <w:r>
        <w:t>C15: Symmetry, balance, and reversibility explain the capacity.</w:t>
      </w:r>
    </w:p>
    <w:p>
      <w:r>
        <w:rPr>
          <w:b/>
        </w:rPr>
        <w:t xml:space="preserve">Chapter Location: </w:t>
      </w:r>
      <w:r>
        <w:t>Ch. line 121</w:t>
      </w:r>
    </w:p>
    <w:p>
      <w:r>
        <w:rPr>
          <w:b/>
        </w:rPr>
        <w:t xml:space="preserve">Claim: </w:t>
      </w:r>
      <w:r>
        <w:t>Symmetry, balance, and reversibility explain the capacity.</w:t>
      </w:r>
    </w:p>
    <w:p>
      <w:r>
        <w:rPr>
          <w:b/>
        </w:rPr>
        <w:t xml:space="preserve">Support Check: </w:t>
      </w:r>
      <w:r>
        <w:t>Plausible conjecture, not a theorem in the sources.</w:t>
      </w:r>
    </w:p>
    <w:p>
      <w:r>
        <w:rPr>
          <w:b/>
        </w:rPr>
        <w:t xml:space="preserve">Status: </w:t>
      </w:r>
      <w:r>
        <w:t>Revise</w:t>
      </w:r>
    </w:p>
    <w:p>
      <w:r>
        <w:rPr>
          <w:b/>
        </w:rPr>
        <w:t xml:space="preserve">Revision Action: </w:t>
      </w:r>
      <w:r>
        <w:t>Label as conjecture or interpretive explanation. Tie channel-capacity advantage more directly to articulation and relational structure.</w:t>
      </w:r>
    </w:p>
    <w:p>
      <w:pPr>
        <w:pStyle w:val="Heading3"/>
      </w:pPr>
      <w:r>
        <w:t>C16: The superiority of quantum computers over classical computers arises largely from entangle</w:t>
      </w:r>
    </w:p>
    <w:p>
      <w:r>
        <w:rPr>
          <w:b/>
        </w:rPr>
        <w:t xml:space="preserve">Chapter Location: </w:t>
      </w:r>
      <w:r>
        <w:t>Ch. line 123</w:t>
      </w:r>
    </w:p>
    <w:p>
      <w:r>
        <w:rPr>
          <w:b/>
        </w:rPr>
        <w:t xml:space="preserve">Claim: </w:t>
      </w:r>
      <w:r>
        <w:t>The superiority of quantum computers over classical computers arises largely from entanglement.</w:t>
      </w:r>
    </w:p>
    <w:p>
      <w:r>
        <w:rPr>
          <w:b/>
        </w:rPr>
        <w:t xml:space="preserve">Support Check: </w:t>
      </w:r>
      <w:r>
        <w:t>Overbroad. Entanglement is a key resource in many quantum advantages, but not the sole or universal explanation.</w:t>
      </w:r>
    </w:p>
    <w:p>
      <w:r>
        <w:rPr>
          <w:b/>
        </w:rPr>
        <w:t xml:space="preserve">Status: </w:t>
      </w:r>
      <w:r>
        <w:t>Remove or Recast</w:t>
      </w:r>
    </w:p>
    <w:p>
      <w:r>
        <w:rPr>
          <w:b/>
        </w:rPr>
        <w:t xml:space="preserve">Revision Action: </w:t>
      </w:r>
      <w:r>
        <w:t>Use "Entanglement is one defining resource in many quantum information tasks."</w:t>
      </w:r>
    </w:p>
    <w:p>
      <w:pPr>
        <w:pStyle w:val="Heading3"/>
      </w:pPr>
      <w:r>
        <w:t>C17: Bell states can be generated by H followed by CNOT and represent nonseparable account rela</w:t>
      </w:r>
    </w:p>
    <w:p>
      <w:r>
        <w:rPr>
          <w:b/>
        </w:rPr>
        <w:t xml:space="preserve">Chapter Location: </w:t>
      </w:r>
      <w:r>
        <w:t>Ch. lines 129-139</w:t>
      </w:r>
    </w:p>
    <w:p>
      <w:r>
        <w:rPr>
          <w:b/>
        </w:rPr>
        <w:t xml:space="preserve">Claim: </w:t>
      </w:r>
      <w:r>
        <w:t>Bell states can be generated by H followed by CNOT and represent nonseparable account relationships.</w:t>
      </w:r>
    </w:p>
    <w:p>
      <w:r>
        <w:rPr>
          <w:b/>
        </w:rPr>
        <w:t xml:space="preserve">Support Check: </w:t>
      </w:r>
      <w:r>
        <w:t>Supported by the odd-cycle source and standard quantum theory.</w:t>
      </w:r>
    </w:p>
    <w:p>
      <w:r>
        <w:rPr>
          <w:b/>
        </w:rPr>
        <w:t xml:space="preserve">Status: </w:t>
      </w:r>
      <w:r>
        <w:t>Supported</w:t>
      </w:r>
    </w:p>
    <w:p>
      <w:r>
        <w:rPr>
          <w:b/>
        </w:rPr>
        <w:t xml:space="preserve">Revision Action: </w:t>
      </w:r>
      <w:r>
        <w:t>Retain, but explain "nonseparable" before "nonlocal" for nonexpert readers.</w:t>
      </w:r>
    </w:p>
    <w:p>
      <w:pPr>
        <w:pStyle w:val="Heading3"/>
      </w:pPr>
      <w:r>
        <w:t>C18: Entanglement gives two-bit channel capacity by allowing four journal-entry messages to be</w:t>
      </w:r>
    </w:p>
    <w:p>
      <w:r>
        <w:rPr>
          <w:b/>
        </w:rPr>
        <w:t xml:space="preserve">Chapter Location: </w:t>
      </w:r>
      <w:r>
        <w:t>Ch. lines 145-185</w:t>
      </w:r>
    </w:p>
    <w:p>
      <w:r>
        <w:rPr>
          <w:b/>
        </w:rPr>
        <w:t xml:space="preserve">Claim: </w:t>
      </w:r>
      <w:r>
        <w:t>Entanglement gives two-bit channel capacity by allowing four journal-entry messages to be distinguished through operations on one account.</w:t>
      </w:r>
    </w:p>
    <w:p>
      <w:r>
        <w:rPr>
          <w:b/>
        </w:rPr>
        <w:t xml:space="preserve">Support Check: </w:t>
      </w:r>
      <w:r>
        <w:t>Supported by the information-property source, with a qualification: the original paper frames the mechanism as superposition plus articulation; "Bell state" language is analogical and appears in Appendix B.</w:t>
      </w:r>
    </w:p>
    <w:p>
      <w:r>
        <w:rPr>
          <w:b/>
        </w:rPr>
        <w:t xml:space="preserve">Status: </w:t>
      </w:r>
      <w:r>
        <w:t>Revise</w:t>
      </w:r>
    </w:p>
    <w:p>
      <w:r>
        <w:rPr>
          <w:b/>
        </w:rPr>
        <w:t xml:space="preserve">Revision Action: </w:t>
      </w:r>
      <w:r>
        <w:t>State the accounting conditions precisely: two articulating statement rows and at least two accounts satisfying the articulation identities.</w:t>
      </w:r>
    </w:p>
    <w:p>
      <w:pPr>
        <w:pStyle w:val="Heading3"/>
      </w:pPr>
      <w:r>
        <w:t>C19: n-bit channel capacity is achieved with n entangled accounts.</w:t>
      </w:r>
    </w:p>
    <w:p>
      <w:r>
        <w:rPr>
          <w:b/>
        </w:rPr>
        <w:t xml:space="preserve">Chapter Location: </w:t>
      </w:r>
      <w:r>
        <w:t>Ch. line 185</w:t>
      </w:r>
    </w:p>
    <w:p>
      <w:r>
        <w:rPr>
          <w:b/>
        </w:rPr>
        <w:t xml:space="preserve">Claim: </w:t>
      </w:r>
      <w:r>
        <w:t>n-bit channel capacity is achieved with n entangled accounts.</w:t>
      </w:r>
    </w:p>
    <w:p>
      <w:r>
        <w:rPr>
          <w:b/>
        </w:rPr>
        <w:t xml:space="preserve">Support Check: </w:t>
      </w:r>
      <w:r>
        <w:t>The information-property source supports n-bit capacity under specific n-account/two-statement articulation conditions.</w:t>
      </w:r>
    </w:p>
    <w:p>
      <w:r>
        <w:rPr>
          <w:b/>
        </w:rPr>
        <w:t xml:space="preserve">Status: </w:t>
      </w:r>
      <w:r>
        <w:t>Revise</w:t>
      </w:r>
    </w:p>
    <w:p>
      <w:r>
        <w:rPr>
          <w:b/>
        </w:rPr>
        <w:t xml:space="preserve">Revision Action: </w:t>
      </w:r>
      <w:r>
        <w:t>Replace with: "in the n-account extension, the model produces n bits when all n accounts satisfy the articulation conditions."</w:t>
      </w:r>
    </w:p>
    <w:p>
      <w:pPr>
        <w:pStyle w:val="Heading3"/>
      </w:pPr>
      <w:r>
        <w:t>C20: Classical 3-seat odd-cycle maximum is 5/6; entangled case reaches 1/2 + sqrt(3)/4; superpo</w:t>
      </w:r>
    </w:p>
    <w:p>
      <w:r>
        <w:rPr>
          <w:b/>
        </w:rPr>
        <w:t xml:space="preserve">Chapter Location: </w:t>
      </w:r>
      <w:r>
        <w:t>Ch. lines 189-203</w:t>
      </w:r>
    </w:p>
    <w:p>
      <w:r>
        <w:rPr>
          <w:b/>
        </w:rPr>
        <w:t xml:space="preserve">Claim: </w:t>
      </w:r>
      <w:r>
        <w:t>Classical 3-seat odd-cycle maximum is 5/6; entangled case reaches 1/2 + sqrt(3)/4; superposition without entanglement reaches 1/2.</w:t>
      </w:r>
    </w:p>
    <w:p>
      <w:r>
        <w:rPr>
          <w:b/>
        </w:rPr>
        <w:t xml:space="preserve">Support Check: </w:t>
      </w:r>
      <w:r>
        <w:t>Supported by the odd-cycle source. The exact quantum value equals cos^2(pi/12). Drmota et al. gives the general odd-cycle quantum limit cos^2[pi/(4n)].</w:t>
      </w:r>
    </w:p>
    <w:p>
      <w:r>
        <w:rPr>
          <w:b/>
        </w:rPr>
        <w:t xml:space="preserve">Status: </w:t>
      </w:r>
      <w:r>
        <w:t>Supported</w:t>
      </w:r>
    </w:p>
    <w:p>
      <w:r>
        <w:rPr>
          <w:b/>
        </w:rPr>
        <w:t xml:space="preserve">Revision Action: </w:t>
      </w:r>
      <w:r>
        <w:t>Use exact value first, approximation second. Add a simple nontechnical explanation of why 5/6 is the classical ceiling.</w:t>
      </w:r>
    </w:p>
    <w:p>
      <w:pPr>
        <w:pStyle w:val="Heading3"/>
      </w:pPr>
      <w:r>
        <w:t>C21: Entanglement is the source of coordination advantage; superposition without entanglement c</w:t>
      </w:r>
    </w:p>
    <w:p>
      <w:r>
        <w:rPr>
          <w:b/>
        </w:rPr>
        <w:t xml:space="preserve">Chapter Location: </w:t>
      </w:r>
      <w:r>
        <w:t>Ch. lines 205-207</w:t>
      </w:r>
    </w:p>
    <w:p>
      <w:r>
        <w:rPr>
          <w:b/>
        </w:rPr>
        <w:t xml:space="preserve">Claim: </w:t>
      </w:r>
      <w:r>
        <w:t>Entanglement is the source of coordination advantage; superposition without entanglement can be detrimental.</w:t>
      </w:r>
    </w:p>
    <w:p>
      <w:r>
        <w:rPr>
          <w:b/>
        </w:rPr>
        <w:t xml:space="preserve">Support Check: </w:t>
      </w:r>
      <w:r>
        <w:t>Supported within the specific three-case odd-cycle model.</w:t>
      </w:r>
    </w:p>
    <w:p>
      <w:r>
        <w:rPr>
          <w:b/>
        </w:rPr>
        <w:t xml:space="preserve">Status: </w:t>
      </w:r>
      <w:r>
        <w:t>Revise</w:t>
      </w:r>
    </w:p>
    <w:p>
      <w:r>
        <w:rPr>
          <w:b/>
        </w:rPr>
        <w:t xml:space="preserve">Revision Action: </w:t>
      </w:r>
      <w:r>
        <w:t>Add "in this model" and avoid generalizing to all quantum strategies or all organizational settings.</w:t>
      </w:r>
    </w:p>
    <w:p>
      <w:pPr>
        <w:pStyle w:val="Heading3"/>
      </w:pPr>
      <w:r>
        <w:t>C22: The classical odd-cycle game is analogous to single-entry, while the quantum version is an</w:t>
      </w:r>
    </w:p>
    <w:p>
      <w:r>
        <w:rPr>
          <w:b/>
        </w:rPr>
        <w:t xml:space="preserve">Chapter Location: </w:t>
      </w:r>
      <w:r>
        <w:t>Ch. line 209</w:t>
      </w:r>
    </w:p>
    <w:p>
      <w:r>
        <w:rPr>
          <w:b/>
        </w:rPr>
        <w:t xml:space="preserve">Claim: </w:t>
      </w:r>
      <w:r>
        <w:t>The classical odd-cycle game is analogous to single-entry, while the quantum version is analogous to double-entry.</w:t>
      </w:r>
    </w:p>
    <w:p>
      <w:r>
        <w:rPr>
          <w:b/>
        </w:rPr>
        <w:t xml:space="preserve">Support Check: </w:t>
      </w:r>
      <w:r>
        <w:t>This is interpretive, not a theorem. It can be valuable if framed as an analogy.</w:t>
      </w:r>
    </w:p>
    <w:p>
      <w:r>
        <w:rPr>
          <w:b/>
        </w:rPr>
        <w:t xml:space="preserve">Status: </w:t>
      </w:r>
      <w:r>
        <w:t>Revise</w:t>
      </w:r>
    </w:p>
    <w:p>
      <w:r>
        <w:rPr>
          <w:b/>
        </w:rPr>
        <w:t xml:space="preserve">Revision Action: </w:t>
      </w:r>
      <w:r>
        <w:t>Say "suggests an analogy" and clarify that double-entry remains a classical accounting architecture.</w:t>
      </w:r>
    </w:p>
    <w:p>
      <w:pPr>
        <w:pStyle w:val="Heading3"/>
      </w:pPr>
      <w:r>
        <w:t>C23: In agency settings, entanglement is a productive resource and group measurement can domina</w:t>
      </w:r>
    </w:p>
    <w:p>
      <w:r>
        <w:rPr>
          <w:b/>
        </w:rPr>
        <w:t xml:space="preserve">Chapter Location: </w:t>
      </w:r>
      <w:r>
        <w:t>Ch. lines 213-227</w:t>
      </w:r>
    </w:p>
    <w:p>
      <w:r>
        <w:rPr>
          <w:b/>
        </w:rPr>
        <w:t xml:space="preserve">Claim: </w:t>
      </w:r>
      <w:r>
        <w:t>In agency settings, entanglement is a productive resource and group measurement can dominate individual measurement under synergy.</w:t>
      </w:r>
    </w:p>
    <w:p>
      <w:r>
        <w:rPr>
          <w:b/>
        </w:rPr>
        <w:t xml:space="preserve">Support Check: </w:t>
      </w:r>
      <w:r>
        <w:t>The Demski et al. 2008 source is cited but not included in the working packet. The chapter maps synergy to entanglement, which is interpretive.</w:t>
      </w:r>
    </w:p>
    <w:p>
      <w:r>
        <w:rPr>
          <w:b/>
        </w:rPr>
        <w:t xml:space="preserve">Status: </w:t>
      </w:r>
      <w:r>
        <w:t>Verify</w:t>
      </w:r>
    </w:p>
    <w:p>
      <w:r>
        <w:rPr>
          <w:b/>
        </w:rPr>
        <w:t xml:space="preserve">Revision Action: </w:t>
      </w:r>
      <w:r>
        <w:t>Keep the Demski result only if the original paper is checked. Soften "entanglement contributes directly to production" to "relational measurement preserves information about joint production."</w:t>
      </w:r>
    </w:p>
    <w:p>
      <w:pPr>
        <w:pStyle w:val="Heading3"/>
      </w:pPr>
      <w:r>
        <w:t>C24: More severe agency problems expand the range over which group measurement dominates.</w:t>
      </w:r>
    </w:p>
    <w:p>
      <w:r>
        <w:rPr>
          <w:b/>
        </w:rPr>
        <w:t xml:space="preserve">Chapter Location: </w:t>
      </w:r>
      <w:r>
        <w:t>Ch. lines 225-227</w:t>
      </w:r>
    </w:p>
    <w:p>
      <w:r>
        <w:rPr>
          <w:b/>
        </w:rPr>
        <w:t xml:space="preserve">Claim: </w:t>
      </w:r>
      <w:r>
        <w:t>More severe agency problems expand the range over which group measurement dominates.</w:t>
      </w:r>
    </w:p>
    <w:p>
      <w:r>
        <w:rPr>
          <w:b/>
        </w:rPr>
        <w:t xml:space="preserve">Support Check: </w:t>
      </w:r>
      <w:r>
        <w:t>Not verified from the packet.</w:t>
      </w:r>
    </w:p>
    <w:p>
      <w:r>
        <w:rPr>
          <w:b/>
        </w:rPr>
        <w:t xml:space="preserve">Status: </w:t>
      </w:r>
      <w:r>
        <w:t>Verify</w:t>
      </w:r>
    </w:p>
    <w:p>
      <w:r>
        <w:rPr>
          <w:b/>
        </w:rPr>
        <w:t xml:space="preserve">Revision Action: </w:t>
      </w:r>
      <w:r>
        <w:t>Check Demski et al. 2008 before making this a major conclusion.</w:t>
      </w:r>
    </w:p>
    <w:p>
      <w:pPr>
        <w:pStyle w:val="Heading3"/>
      </w:pPr>
      <w:r>
        <w:t>C25: The chapter shows double-entry supports vector processing, superposition, and entanglement</w:t>
      </w:r>
    </w:p>
    <w:p>
      <w:r>
        <w:rPr>
          <w:b/>
        </w:rPr>
        <w:t xml:space="preserve">Chapter Location: </w:t>
      </w:r>
      <w:r>
        <w:t>Ch. lines 231-237</w:t>
      </w:r>
    </w:p>
    <w:p>
      <w:r>
        <w:rPr>
          <w:b/>
        </w:rPr>
        <w:t xml:space="preserve">Claim: </w:t>
      </w:r>
      <w:r>
        <w:t>The chapter shows double-entry supports vector processing, superposition, and entanglement.</w:t>
      </w:r>
    </w:p>
    <w:p>
      <w:r>
        <w:rPr>
          <w:b/>
        </w:rPr>
        <w:t xml:space="preserve">Support Check: </w:t>
      </w:r>
      <w:r>
        <w:t>The chapter can show formal analogues, not literal physical quantum properties.</w:t>
      </w:r>
    </w:p>
    <w:p>
      <w:r>
        <w:rPr>
          <w:b/>
        </w:rPr>
        <w:t xml:space="preserve">Status: </w:t>
      </w:r>
      <w:r>
        <w:t>Revise</w:t>
      </w:r>
    </w:p>
    <w:p>
      <w:r>
        <w:rPr>
          <w:b/>
        </w:rPr>
        <w:t xml:space="preserve">Revision Action: </w:t>
      </w:r>
      <w:r>
        <w:t>Use "admits a vector representation," "has a structural analogue of superposition," and "can model nonseparable relational structures."</w:t>
      </w:r>
    </w:p>
    <w:p>
      <w:pPr>
        <w:pStyle w:val="Heading3"/>
      </w:pPr>
      <w:r>
        <w:t>C26: Double-entry processes information in a way that cannot be achieved classically.</w:t>
      </w:r>
    </w:p>
    <w:p>
      <w:r>
        <w:rPr>
          <w:b/>
        </w:rPr>
        <w:t xml:space="preserve">Chapter Location: </w:t>
      </w:r>
      <w:r>
        <w:t>Ch. lines 233-235</w:t>
      </w:r>
    </w:p>
    <w:p>
      <w:r>
        <w:rPr>
          <w:b/>
        </w:rPr>
        <w:t xml:space="preserve">Claim: </w:t>
      </w:r>
      <w:r>
        <w:t>Double-entry processes information in a way that cannot be achieved classically.</w:t>
      </w:r>
    </w:p>
    <w:p>
      <w:r>
        <w:rPr>
          <w:b/>
        </w:rPr>
        <w:t xml:space="preserve">Support Check: </w:t>
      </w:r>
      <w:r>
        <w:t>Misleading because double-entry is classical. The intended comparison is against scalar/single-entry representations under specific models.</w:t>
      </w:r>
    </w:p>
    <w:p>
      <w:r>
        <w:rPr>
          <w:b/>
        </w:rPr>
        <w:t xml:space="preserve">Status: </w:t>
      </w:r>
      <w:r>
        <w:t>Remove or Recast</w:t>
      </w:r>
    </w:p>
    <w:p>
      <w:r>
        <w:rPr>
          <w:b/>
        </w:rPr>
        <w:t xml:space="preserve">Revision Action: </w:t>
      </w:r>
      <w:r>
        <w:t>Say "cannot be achieved by the corresponding scalar/single-entry representation in these models."</w:t>
      </w:r>
    </w:p>
    <w:p>
      <w:pPr>
        <w:pStyle w:val="Heading3"/>
      </w:pPr>
      <w:r>
        <w:t>C27: The analysis explains the durability of double-entry over five centuries.</w:t>
      </w:r>
    </w:p>
    <w:p>
      <w:r>
        <w:rPr>
          <w:b/>
        </w:rPr>
        <w:t xml:space="preserve">Chapter Location: </w:t>
      </w:r>
      <w:r>
        <w:t>Ch. line 235</w:t>
      </w:r>
    </w:p>
    <w:p>
      <w:r>
        <w:rPr>
          <w:b/>
        </w:rPr>
        <w:t xml:space="preserve">Claim: </w:t>
      </w:r>
      <w:r>
        <w:t>The analysis explains the durability of double-entry over five centuries.</w:t>
      </w:r>
    </w:p>
    <w:p>
      <w:r>
        <w:rPr>
          <w:b/>
        </w:rPr>
        <w:t xml:space="preserve">Support Check: </w:t>
      </w:r>
      <w:r>
        <w:t>Too strong as a historical causal claim. The result offers one information-theoretic explanation, not a complete historical explanation.</w:t>
      </w:r>
    </w:p>
    <w:p>
      <w:r>
        <w:rPr>
          <w:b/>
        </w:rPr>
        <w:t xml:space="preserve">Status: </w:t>
      </w:r>
      <w:r>
        <w:t>Revise</w:t>
      </w:r>
    </w:p>
    <w:p>
      <w:r>
        <w:rPr>
          <w:b/>
        </w:rPr>
        <w:t xml:space="preserve">Revision Action: </w:t>
      </w:r>
      <w:r>
        <w:t>Use "offers one reason" or "helps explain."</w:t>
      </w:r>
    </w:p>
    <w:p>
      <w:pPr>
        <w:pStyle w:val="Heading3"/>
      </w:pPr>
      <w:r>
        <w:t>C28: The framework has pedagogical value for researchers, educators, and practitioners.</w:t>
      </w:r>
    </w:p>
    <w:p>
      <w:r>
        <w:rPr>
          <w:b/>
        </w:rPr>
        <w:t xml:space="preserve">Chapter Location: </w:t>
      </w:r>
      <w:r>
        <w:t>Ch. line 237</w:t>
      </w:r>
    </w:p>
    <w:p>
      <w:r>
        <w:rPr>
          <w:b/>
        </w:rPr>
        <w:t xml:space="preserve">Claim: </w:t>
      </w:r>
      <w:r>
        <w:t>The framework has pedagogical value for researchers, educators, and practitioners.</w:t>
      </w:r>
    </w:p>
    <w:p>
      <w:r>
        <w:rPr>
          <w:b/>
        </w:rPr>
        <w:t xml:space="preserve">Support Check: </w:t>
      </w:r>
      <w:r>
        <w:t>Supported as a reasonable conclusion if overstatements are controlled.</w:t>
      </w:r>
    </w:p>
    <w:p>
      <w:r>
        <w:rPr>
          <w:b/>
        </w:rPr>
        <w:t xml:space="preserve">Status: </w:t>
      </w:r>
      <w:r>
        <w:t>Supported</w:t>
      </w:r>
    </w:p>
    <w:p>
      <w:r>
        <w:rPr>
          <w:b/>
        </w:rPr>
        <w:t xml:space="preserve">Revision Action: </w:t>
      </w:r>
      <w:r>
        <w:t>Retain. It may become a stronger closing than the broad "quantum era" claim.</w:t>
      </w:r>
    </w:p>
    <w:p>
      <w:pPr>
        <w:pStyle w:val="Heading2"/>
      </w:pPr>
      <w:r>
        <w:t>Highest-Priority Corrections</w:t>
      </w:r>
    </w:p>
    <w:p>
      <w:pPr>
        <w:pStyle w:val="ListNumber"/>
      </w:pPr>
      <w:r>
        <w:t>Change the main claim from "double-entry is universal for quantum computation" to "double-entry can represent a universal quantum gate set when paired with explicit amplitude bookkeeping."</w:t>
      </w:r>
    </w:p>
    <w:p>
      <w:pPr>
        <w:pStyle w:val="ListNumber"/>
      </w:pPr>
      <w:r>
        <w:t>Replace literal-sounding claims of accounting entanglement/superposition with "structural analogues" unless a formal Bell-state model is actually being used.</w:t>
      </w:r>
    </w:p>
    <w:p>
      <w:pPr>
        <w:pStyle w:val="ListNumber"/>
      </w:pPr>
      <w:r>
        <w:t>Add exact conditions to the channel-capacity result: two statement rows, at least two accounts, and articulation identities.</w:t>
      </w:r>
    </w:p>
    <w:p>
      <w:pPr>
        <w:pStyle w:val="ListNumber"/>
      </w:pPr>
      <w:r>
        <w:t>Treat Section 1 and Section 3.4 as citation-dependent until Fellingham et al. 2022 and Demski et al. 2008 are checked.</w:t>
      </w:r>
    </w:p>
    <w:p>
      <w:pPr>
        <w:pStyle w:val="ListNumber"/>
      </w:pPr>
      <w:r>
        <w:t>Reframe the conclusion around "articulation as code": information lives in relationships among accounts/statements, not merely in individual balances.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lef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