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Clean Rewrite Draft</w:t>
      </w:r>
    </w:p>
    <w:p>
      <w:pPr>
        <w:pStyle w:val="Heading1"/>
      </w:pPr>
      <w: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2"/>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pPr>
        <w:pStyle w:val="Heading2"/>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2"/>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tblLook w:firstColumn="1" w:firstRow="1" w:lastColumn="0" w:lastRow="0" w:noHBand="0" w:noVBand="1" w:val="04A0"/>
        <w:tblLayout w:type="fixed"/>
      </w:tblPr>
      <w:tblGrid>
        <w:gridCol w:w="2400"/>
        <w:gridCol w:w="3000"/>
        <w:gridCol w:w="3960"/>
      </w:tblGrid>
      <w:tr>
        <w:tc>
          <w:tcPr>
            <w:tcW w:type="dxa" w:w="2400"/>
            <w:vAlign w:val="center"/>
            <w:tcMar>
              <w:top w:w="80" w:type="dxa"/>
              <w:start w:w="120" w:type="dxa"/>
              <w:bottom w:w="80" w:type="dxa"/>
              <w:end w:w="120" w:type="dxa"/>
            </w:tcMar>
            <w:shd w:fill="F4F6F9"/>
          </w:tcPr>
          <w:p>
            <w:pPr>
              <w:spacing w:after="0"/>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jc w:val="left"/>
            </w:pPr>
            <w:r/>
            <w:r>
              <w:rPr>
                <w:rFonts w:ascii="Calibri" w:hAnsi="Calibri"/>
                <w:b/>
                <w:sz w:val="18"/>
              </w:rPr>
              <w:t>Accounting representation</w:t>
            </w:r>
          </w:p>
        </w:tc>
        <w:tc>
          <w:tcPr>
            <w:tcW w:type="dxa" w:w="39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jc w:val="left"/>
            </w:pPr>
            <w:r/>
            <w:r>
              <w:rPr>
                <w:rFonts w:ascii="Calibri" w:hAnsi="Calibri"/>
                <w:sz w:val="18"/>
              </w:rPr>
              <w:t>E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One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jc w:val="left"/>
            </w:pPr>
            <w:r/>
            <w:r>
              <w:rPr>
                <w:rFonts w:ascii="Calibri" w:hAnsi="Calibri"/>
                <w:sz w:val="18"/>
              </w:rPr>
              <w:t>A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The other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jc w:val="left"/>
            </w:pPr>
            <w:r/>
            <w:r>
              <w:rPr>
                <w:rFonts w:ascii="Calibri" w:hAnsi="Calibri"/>
                <w:sz w:val="18"/>
              </w:rPr>
              <w:t>Reclassification entry</w:t>
            </w:r>
          </w:p>
        </w:tc>
        <w:tc>
          <w:tcPr>
            <w:tcW w:type="dxa" w:w="3960"/>
            <w:vAlign w:val="center"/>
            <w:tcMar>
              <w:top w:w="80" w:type="dxa"/>
              <w:start w:w="120" w:type="dxa"/>
              <w:bottom w:w="80" w:type="dxa"/>
              <w:end w:w="120" w:type="dxa"/>
            </w:tcMar>
          </w:tcPr>
          <w:p>
            <w:pPr>
              <w:spacing w:after="0"/>
              <w:jc w:val="left"/>
            </w:pPr>
            <w:r/>
            <w:r>
              <w:rPr>
                <w:rFonts w:ascii="Calibri" w:hAnsi="Calibri"/>
                <w:sz w:val="18"/>
              </w:rPr>
              <w:t>Switches E and A</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jc w:val="left"/>
            </w:pPr>
            <w:r/>
            <w:r>
              <w:rPr>
                <w:rFonts w:ascii="Calibri" w:hAnsi="Calibri"/>
                <w:sz w:val="18"/>
              </w:rPr>
              <w:t>Revaluation entries</w:t>
            </w:r>
          </w:p>
        </w:tc>
        <w:tc>
          <w:tcPr>
            <w:tcW w:type="dxa" w:w="3960"/>
            <w:vAlign w:val="center"/>
            <w:tcMar>
              <w:top w:w="80" w:type="dxa"/>
              <w:start w:w="120" w:type="dxa"/>
              <w:bottom w:w="80" w:type="dxa"/>
              <w:end w:w="120" w:type="dxa"/>
            </w:tcMar>
          </w:tcPr>
          <w:p>
            <w:pPr>
              <w:spacing w:after="0"/>
              <w:jc w:val="left"/>
            </w:pPr>
            <w:r/>
            <w:r>
              <w:rPr>
                <w:rFonts w:ascii="Calibri" w:hAnsi="Calibri"/>
                <w:sz w:val="18"/>
              </w:rPr>
              <w:t>Change phase on the A side of the representation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jc w:val="left"/>
            </w:pPr>
            <w:r/>
            <w:r>
              <w:rPr>
                <w:rFonts w:ascii="Calibri" w:hAnsi="Calibri"/>
                <w:sz w:val="18"/>
              </w:rPr>
              <w:t>Combined reclassification and revaluation, with amplitude tracked separately</w:t>
            </w:r>
          </w:p>
        </w:tc>
        <w:tc>
          <w:tcPr>
            <w:tcW w:type="dxa" w:w="3960"/>
            <w:vAlign w:val="center"/>
            <w:tcMar>
              <w:top w:w="80" w:type="dxa"/>
              <w:start w:w="120" w:type="dxa"/>
              <w:bottom w:w="80" w:type="dxa"/>
              <w:end w:w="120" w:type="dxa"/>
            </w:tcMar>
          </w:tcPr>
          <w:p>
            <w:pPr>
              <w:spacing w:after="0"/>
              <w:jc w:val="left"/>
            </w:pPr>
            <w:r/>
            <w:r>
              <w:rPr>
                <w:rFonts w:ascii="Calibri" w:hAnsi="Calibri"/>
                <w:sz w:val="18"/>
              </w:rPr>
              <w:t>Creates a superposition over basis states</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jc w:val="left"/>
            </w:pPr>
            <w:r/>
            <w:r>
              <w:rPr>
                <w:rFonts w:ascii="Calibri" w:hAnsi="Calibri"/>
                <w:sz w:val="18"/>
              </w:rPr>
              <w:t>Concatenated account string such as EA or AEA</w:t>
            </w:r>
          </w:p>
        </w:tc>
        <w:tc>
          <w:tcPr>
            <w:tcW w:type="dxa" w:w="3960"/>
            <w:vAlign w:val="center"/>
            <w:tcMar>
              <w:top w:w="80" w:type="dxa"/>
              <w:start w:w="120" w:type="dxa"/>
              <w:bottom w:w="80" w:type="dxa"/>
              <w:end w:w="120" w:type="dxa"/>
            </w:tcMar>
          </w:tcPr>
          <w:p>
            <w:pPr>
              <w:spacing w:after="0"/>
              <w:jc w:val="left"/>
            </w:pPr>
            <w:r/>
            <w:r>
              <w:rPr>
                <w:rFonts w:ascii="Calibri" w:hAnsi="Calibri"/>
                <w:sz w:val="18"/>
              </w:rPr>
              <w:t>Represents a computational-basis state of a multi-qubit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jc w:val="left"/>
            </w:pPr>
            <w:r/>
            <w:r>
              <w:rPr>
                <w:rFonts w:ascii="Calibri" w:hAnsi="Calibri"/>
                <w:sz w:val="18"/>
              </w:rPr>
              <w:t>Outcome probabilities computed from amplitudes</w:t>
            </w:r>
          </w:p>
        </w:tc>
        <w:tc>
          <w:tcPr>
            <w:tcW w:type="dxa" w:w="3960"/>
            <w:vAlign w:val="center"/>
            <w:tcMar>
              <w:top w:w="80" w:type="dxa"/>
              <w:start w:w="120" w:type="dxa"/>
              <w:bottom w:w="80" w:type="dxa"/>
              <w:end w:w="120" w:type="dxa"/>
            </w:tcMar>
          </w:tcPr>
          <w:p>
            <w:pPr>
              <w:spacing w:after="0"/>
              <w:jc w:val="left"/>
            </w:pPr>
            <w:r/>
            <w:r>
              <w:rPr>
                <w:rFonts w:ascii="Calibri" w:hAnsi="Calibri"/>
                <w:sz w:val="18"/>
              </w:rPr>
              <w:t>Converts the represented state into an observed basis outcome</w:t>
            </w:r>
          </w:p>
        </w:tc>
      </w:tr>
    </w:tbl>
    <w:p>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pStyle w:val="Heading3"/>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3"/>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3"/>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pStyle w:val="Heading3"/>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pStyle w:val="Heading2"/>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3"/>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3"/>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Under the conditions of the model, an n-account articulated structure can generate n bits of channel capacity when the relevant accounts satisfy the articulation constraints. The capacity scales because the relational structure preserves distinguishable patterns across accounts and statements.</w:t>
      </w:r>
    </w:p>
    <w:p>
      <w:pPr>
        <w:pStyle w:val="Heading3"/>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r>
        <w:t>The companion odd-cycle paper compares three cases:</w:t>
      </w:r>
    </w:p>
    <w:tbl>
      <w:tblPr>
        <w:tblStyle w:val="TableGrid"/>
        <w:tblW w:type="dxa" w:w="9360"/>
        <w:tblLook w:firstColumn="1" w:firstRow="1" w:lastColumn="0" w:lastRow="0" w:noHBand="0" w:noVBand="1" w:val="04A0"/>
        <w:tblLayout w:type="fixed"/>
      </w:tblPr>
      <w:tblGrid>
        <w:gridCol w:w="1700"/>
        <w:gridCol w:w="2500"/>
        <w:gridCol w:w="1800"/>
        <w:gridCol w:w="3360"/>
      </w:tblGrid>
      <w:tr>
        <w:tc>
          <w:tcPr>
            <w:tcW w:type="dxa" w:w="1700"/>
            <w:vAlign w:val="center"/>
            <w:tcMar>
              <w:top w:w="80" w:type="dxa"/>
              <w:start w:w="120" w:type="dxa"/>
              <w:bottom w:w="80" w:type="dxa"/>
              <w:end w:w="120" w:type="dxa"/>
            </w:tcMar>
            <w:shd w:fill="F4F6F9"/>
          </w:tcPr>
          <w:p>
            <w:pPr>
              <w:spacing w:after="0"/>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jc w:val="left"/>
            </w:pPr>
            <w:r/>
            <w:r>
              <w:rPr>
                <w:rFonts w:ascii="Calibri" w:hAnsi="Calibri"/>
                <w:b/>
                <w:sz w:val="18"/>
              </w:rPr>
              <w:t>Initial relationship</w:t>
            </w:r>
          </w:p>
        </w:tc>
        <w:tc>
          <w:tcPr>
            <w:tcW w:type="dxa" w:w="1800"/>
            <w:vAlign w:val="center"/>
            <w:tcMar>
              <w:top w:w="80" w:type="dxa"/>
              <w:start w:w="120" w:type="dxa"/>
              <w:bottom w:w="80" w:type="dxa"/>
              <w:end w:w="120" w:type="dxa"/>
            </w:tcMar>
            <w:shd w:fill="F4F6F9"/>
          </w:tcPr>
          <w:p>
            <w:pPr>
              <w:spacing w:after="0"/>
              <w:jc w:val="left"/>
            </w:pPr>
            <w:r/>
            <w:r>
              <w:rPr>
                <w:rFonts w:ascii="Calibri" w:hAnsi="Calibri"/>
                <w:b/>
                <w:sz w:val="18"/>
              </w:rPr>
              <w:t>Winning probability</w:t>
            </w:r>
          </w:p>
        </w:tc>
        <w:tc>
          <w:tcPr>
            <w:tcW w:type="dxa" w:w="33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No superposition and no entanglement</w:t>
            </w:r>
          </w:p>
        </w:tc>
        <w:tc>
          <w:tcPr>
            <w:tcW w:type="dxa" w:w="1800"/>
            <w:vAlign w:val="center"/>
            <w:tcMar>
              <w:top w:w="80" w:type="dxa"/>
              <w:start w:w="120" w:type="dxa"/>
              <w:bottom w:w="80" w:type="dxa"/>
              <w:end w:w="120" w:type="dxa"/>
            </w:tcMar>
          </w:tcPr>
          <w:p>
            <w:pPr>
              <w:spacing w:after="0"/>
              <w:jc w:val="left"/>
            </w:pPr>
            <w:r/>
            <w:r>
              <w:rPr>
                <w:rFonts w:ascii="Calibri" w:hAnsi="Calibri"/>
                <w:sz w:val="18"/>
              </w:rPr>
              <w:t>5/6</w:t>
            </w:r>
          </w:p>
        </w:tc>
        <w:tc>
          <w:tcPr>
            <w:tcW w:type="dxa" w:w="3360"/>
            <w:vAlign w:val="center"/>
            <w:tcMar>
              <w:top w:w="80" w:type="dxa"/>
              <w:start w:w="120" w:type="dxa"/>
              <w:bottom w:w="80" w:type="dxa"/>
              <w:end w:w="120" w:type="dxa"/>
            </w:tcMar>
          </w:tcPr>
          <w:p>
            <w:pPr>
              <w:spacing w:after="0"/>
              <w:jc w:val="left"/>
            </w:pPr>
            <w:r/>
            <w:r>
              <w:rPr>
                <w:rFonts w:ascii="Calibri" w:hAnsi="Calibri"/>
                <w:sz w:val="18"/>
              </w:rPr>
              <w:t>Reproduces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Entangled relational structure</w:t>
            </w:r>
          </w:p>
        </w:tc>
        <w:tc>
          <w:tcPr>
            <w:tcW w:type="dxa" w:w="1800"/>
            <w:vAlign w:val="center"/>
            <w:tcMar>
              <w:top w:w="80" w:type="dxa"/>
              <w:start w:w="120" w:type="dxa"/>
              <w:bottom w:w="80" w:type="dxa"/>
              <w:end w:w="120" w:type="dxa"/>
            </w:tcMar>
          </w:tcPr>
          <w:p>
            <w:pPr>
              <w:spacing w:after="0"/>
              <w:jc w:val="left"/>
            </w:pPr>
            <w:r/>
            <w:r>
              <w:rPr>
                <w:rFonts w:ascii="Calibri" w:hAnsi="Calibri"/>
                <w:sz w:val="18"/>
              </w:rPr>
              <w:t>1/2 + sqrt(3)/4</w:t>
            </w:r>
          </w:p>
        </w:tc>
        <w:tc>
          <w:tcPr>
            <w:tcW w:type="dxa" w:w="3360"/>
            <w:vAlign w:val="center"/>
            <w:tcMar>
              <w:top w:w="80" w:type="dxa"/>
              <w:start w:w="120" w:type="dxa"/>
              <w:bottom w:w="80" w:type="dxa"/>
              <w:end w:w="120" w:type="dxa"/>
            </w:tcMar>
          </w:tcPr>
          <w:p>
            <w:pPr>
              <w:spacing w:after="0"/>
              <w:jc w:val="left"/>
            </w:pPr>
            <w:r/>
            <w:r>
              <w:rPr>
                <w:rFonts w:ascii="Calibri" w:hAnsi="Calibri"/>
                <w:sz w:val="18"/>
              </w:rPr>
              <w:t>Strictly exceeds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jc w:val="left"/>
            </w:pPr>
            <w:r/>
            <w:r>
              <w:rPr>
                <w:rFonts w:ascii="Calibri" w:hAnsi="Calibri"/>
                <w:sz w:val="18"/>
              </w:rPr>
              <w:t>One account in superposition but no relational link</w:t>
            </w:r>
          </w:p>
        </w:tc>
        <w:tc>
          <w:tcPr>
            <w:tcW w:type="dxa" w:w="1800"/>
            <w:vAlign w:val="center"/>
            <w:tcMar>
              <w:top w:w="80" w:type="dxa"/>
              <w:start w:w="120" w:type="dxa"/>
              <w:bottom w:w="80" w:type="dxa"/>
              <w:end w:w="120" w:type="dxa"/>
            </w:tcMar>
          </w:tcPr>
          <w:p>
            <w:pPr>
              <w:spacing w:after="0"/>
              <w:jc w:val="left"/>
            </w:pPr>
            <w:r/>
            <w:r>
              <w:rPr>
                <w:rFonts w:ascii="Calibri" w:hAnsi="Calibri"/>
                <w:sz w:val="18"/>
              </w:rPr>
              <w:t>1/2</w:t>
            </w:r>
          </w:p>
        </w:tc>
        <w:tc>
          <w:tcPr>
            <w:tcW w:type="dxa" w:w="3360"/>
            <w:vAlign w:val="center"/>
            <w:tcMar>
              <w:top w:w="80" w:type="dxa"/>
              <w:start w:w="120" w:type="dxa"/>
              <w:bottom w:w="80" w:type="dxa"/>
              <w:end w:w="120" w:type="dxa"/>
            </w:tcMar>
          </w:tcPr>
          <w:p>
            <w:pPr>
              <w:spacing w:after="0"/>
              <w:jc w:val="left"/>
            </w:pPr>
            <w:r/>
            <w:r>
              <w:rPr>
                <w:rFonts w:ascii="Calibri" w:hAnsi="Calibri"/>
                <w:sz w:val="18"/>
              </w:rPr>
              <w:t>Performs worse in this model</w:t>
            </w:r>
          </w:p>
        </w:tc>
      </w:tr>
    </w:tbl>
    <w:p>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3"/>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2"/>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2"/>
      </w:pPr>
      <w:r>
        <w:t>References</w:t>
      </w:r>
    </w:p>
    <w:p>
      <w:r>
        <w:t>Aharonov, Dorit. 2003. "A simple proof that Toffoli and Hadamard are quantum universal." arXiv:quant-ph/0301040.</w:t>
      </w:r>
    </w:p>
    <w:p>
      <w:r>
        <w:t>Antle, Rick, John Fellingham, Haijin Lin, and Douglas Schroeder. 2026a. "The channel capacity of the double-entry system." Working paper.</w:t>
      </w:r>
    </w:p>
    <w:p>
      <w:r>
        <w:t>Antle, Rick, John Fellingham, Haijin Lin, and Douglas Schroeder. 2026b. "Double-entry accounting, entanglement, and odd-cycle game." Working paper.</w:t>
      </w:r>
    </w:p>
    <w:p>
      <w:r>
        <w:t>Demski, Joel, John Fellingham, Haijin Lin, and Douglas Schroeder. 2008. "Interaction between productivity and measurement." Journal of Management Accounting Research 20: 169-190.</w:t>
      </w:r>
    </w:p>
    <w:p>
      <w:r>
        <w:t>Drmota, P., D. Main, E. M. Ainley, A. Agrawal, G. Araneda, D. P. Nadlinger, B. C. Nichol, R. Srinivas, A. Cabello, and D. M. Lucas. 2024. "Experimental Quantum Advantage in the Odd-Cycle Game." arXiv:2406.08412.</w:t>
      </w:r>
    </w:p>
    <w:p>
      <w:r>
        <w:t>Fellingham, John. 2017. Accounting: An Information Science.</w:t>
      </w:r>
    </w:p>
    <w:p>
      <w:r>
        <w:t>Fellingham, John, Haijin Lin, and Douglas Schroeder. 2022. "Entropy, double entry accounting and quantum entanglement." Foundations and Trends in Accounting 16 (4): 308-396.</w:t>
      </w:r>
    </w:p>
    <w:p>
      <w:r>
        <w:t>Fellingham, John, Haijin Lin, and Douglas Schroeder. 2025. "Using double-entry accounting to program quantum computers." Working paper.</w:t>
      </w:r>
    </w:p>
    <w:p>
      <w:r>
        <w:t>Hakansson, Nils H. 1971. "Multi-period mean-variance analysis: toward a general theory of portfolio choice." The Journal of Finance 26 (4): 857-884.</w:t>
      </w:r>
    </w:p>
    <w:p>
      <w:r>
        <w:t>Kelly, John L. 1956. "A new interpretation of information rate." The Bell System Technical Journal 35 (4): 917-926.</w:t>
      </w:r>
    </w:p>
    <w:p>
      <w:r>
        <w:t>Nielsen, Michael A., and Isaac L. Chuang. 2000. Quantum Computation and Quantum Information. Cambridge University Press.</w:t>
      </w:r>
    </w:p>
    <w:p>
      <w:r>
        <w:t>Shannon, C. E. 1948. "A mathematical theory of communication." The Bell System Technical Journal 27 (3): 379-423.</w:t>
      </w:r>
    </w:p>
    <w:p>
      <w:r>
        <w:t>Shi, Yaoyun. 2003. "Both Toffoli and Controlled-NOT need little help to do universal quantum computing." Quantum Information &amp; Computation 3 (1): 84-92.</w:t>
      </w:r>
    </w:p>
    <w:p>
      <w:r>
        <w:t>Stackpole, Beth. 2025. "Quantum Computing Reality Check: What Business Needs to Know Now." MIT Sloan School of Management, Ideas Made to Matter.</w:t>
      </w:r>
    </w:p>
    <w:p>
      <w:r>
        <w:t>Terhal, Barbara M., Michael M. Wolf, and Andrew C. Doherty. 2025. "Quantum entanglement: a modern perspective." Physics Today, January, 40-46.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