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Coauthor Dossier Ambitious</w:t>
      </w:r>
    </w:p>
    <w:p>
      <w:pPr>
        <w:pStyle w:val="Heading1"/>
      </w:pPr>
      <w:r>
        <w:t>Coauthor Dossier</w:t>
      </w:r>
    </w:p>
    <w:p>
      <w:r>
        <w:t>Most Ambitious Version Of The Double-Entry Quantum Chapter</w:t>
      </w:r>
    </w:p>
    <w:p>
      <w:pPr>
        <w:pStyle w:val="Heading2"/>
      </w:pPr>
      <w:r>
        <w:t>Purpose</w:t>
      </w:r>
    </w:p>
    <w:p>
      <w:r>
        <w:t>This dossier is for coauthors, not for publication. It summarizes the package structure, the main claim decisions, the remaining checks, and the likely reviewer defenses. It is meant to make the ambitious version easier to discuss without reopening every sentence of the chapter.</w:t>
      </w:r>
    </w:p>
    <w:p>
      <w:pPr>
        <w:pStyle w:val="Heading2"/>
      </w:pPr>
      <w:r>
        <w:t>Package Architecture</w:t>
      </w:r>
    </w:p>
    <w:tbl>
      <w:tblPr>
        <w:tblStyle w:val="TableGrid"/>
        <w:tblW w:type="dxa" w:w="9360"/>
        <w:tblLook w:firstColumn="1" w:firstRow="1" w:lastColumn="0" w:lastRow="0" w:noHBand="0" w:noVBand="1" w:val="04A0"/>
        <w:tblLayout w:type="fixed"/>
      </w:tblPr>
      <w:tblGrid>
        <w:gridCol w:w="2400"/>
        <w:gridCol w:w="3000"/>
        <w:gridCol w:w="3960"/>
      </w:tblGrid>
      <w:tr>
        <w:tc>
          <w:tcPr>
            <w:tcW w:type="dxa" w:w="2400"/>
            <w:vAlign w:val="center"/>
            <w:tcMar>
              <w:top w:w="80" w:type="dxa"/>
              <w:start w:w="120" w:type="dxa"/>
              <w:bottom w:w="80" w:type="dxa"/>
              <w:end w:w="120" w:type="dxa"/>
            </w:tcMar>
            <w:shd w:fill="F4F6F9"/>
          </w:tcPr>
          <w:p>
            <w:pPr>
              <w:spacing w:after="0"/>
              <w:jc w:val="left"/>
            </w:pPr>
            <w:r/>
            <w:r>
              <w:rPr>
                <w:rFonts w:ascii="Calibri" w:hAnsi="Calibri"/>
                <w:b/>
                <w:sz w:val="18"/>
              </w:rPr>
              <w:t>File</w:t>
            </w:r>
          </w:p>
        </w:tc>
        <w:tc>
          <w:tcPr>
            <w:tcW w:type="dxa" w:w="3000"/>
            <w:vAlign w:val="center"/>
            <w:tcMar>
              <w:top w:w="80" w:type="dxa"/>
              <w:start w:w="120" w:type="dxa"/>
              <w:bottom w:w="80" w:type="dxa"/>
              <w:end w:w="120" w:type="dxa"/>
            </w:tcMar>
            <w:shd w:fill="F4F6F9"/>
          </w:tcPr>
          <w:p>
            <w:pPr>
              <w:spacing w:after="0"/>
              <w:jc w:val="left"/>
            </w:pPr>
            <w:r/>
            <w:r>
              <w:rPr>
                <w:rFonts w:ascii="Calibri" w:hAnsi="Calibri"/>
                <w:b/>
                <w:sz w:val="18"/>
              </w:rPr>
              <w:t>Intended reader</w:t>
            </w:r>
          </w:p>
        </w:tc>
        <w:tc>
          <w:tcPr>
            <w:tcW w:type="dxa" w:w="3960"/>
            <w:vAlign w:val="center"/>
            <w:tcMar>
              <w:top w:w="80" w:type="dxa"/>
              <w:start w:w="120" w:type="dxa"/>
              <w:bottom w:w="80" w:type="dxa"/>
              <w:end w:w="120" w:type="dxa"/>
            </w:tcMar>
            <w:shd w:fill="F4F6F9"/>
          </w:tcPr>
          <w:p>
            <w:pPr>
              <w:spacing w:after="0"/>
              <w:jc w:val="left"/>
            </w:pPr>
            <w:r/>
            <w:r>
              <w:rPr>
                <w:rFonts w:ascii="Calibri" w:hAnsi="Calibri"/>
                <w:b/>
                <w:sz w:val="18"/>
              </w:rPr>
              <w:t>Function</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Chapter.rewritten.ambitious.docx</w:t>
            </w:r>
          </w:p>
        </w:tc>
        <w:tc>
          <w:tcPr>
            <w:tcW w:type="dxa" w:w="3000"/>
            <w:vAlign w:val="center"/>
            <w:tcMar>
              <w:top w:w="80" w:type="dxa"/>
              <w:start w:w="120" w:type="dxa"/>
              <w:bottom w:w="80" w:type="dxa"/>
              <w:end w:w="120" w:type="dxa"/>
            </w:tcMar>
          </w:tcPr>
          <w:p>
            <w:pPr>
              <w:spacing w:after="0"/>
              <w:jc w:val="left"/>
            </w:pPr>
            <w:r/>
            <w:r>
              <w:rPr>
                <w:rFonts w:ascii="Calibri" w:hAnsi="Calibri"/>
                <w:sz w:val="18"/>
              </w:rPr>
              <w:t>Chapter readers and editors</w:t>
            </w:r>
          </w:p>
        </w:tc>
        <w:tc>
          <w:tcPr>
            <w:tcW w:type="dxa" w:w="3960"/>
            <w:vAlign w:val="center"/>
            <w:tcMar>
              <w:top w:w="80" w:type="dxa"/>
              <w:start w:w="120" w:type="dxa"/>
              <w:bottom w:w="80" w:type="dxa"/>
              <w:end w:w="120" w:type="dxa"/>
            </w:tcMar>
          </w:tcPr>
          <w:p>
            <w:pPr>
              <w:spacing w:after="0"/>
              <w:jc w:val="left"/>
            </w:pPr>
            <w:r/>
            <w:r>
              <w:rPr>
                <w:rFonts w:ascii="Calibri" w:hAnsi="Calibri"/>
                <w:sz w:val="18"/>
              </w:rPr>
              <w:t>Main publishable chapter; conceptually strong but not overloaded</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TechnicalSupplement.ambitious.docx</w:t>
            </w:r>
          </w:p>
        </w:tc>
        <w:tc>
          <w:tcPr>
            <w:tcW w:type="dxa" w:w="3000"/>
            <w:vAlign w:val="center"/>
            <w:tcMar>
              <w:top w:w="80" w:type="dxa"/>
              <w:start w:w="120" w:type="dxa"/>
              <w:bottom w:w="80" w:type="dxa"/>
              <w:end w:w="120" w:type="dxa"/>
            </w:tcMar>
          </w:tcPr>
          <w:p>
            <w:pPr>
              <w:spacing w:after="0"/>
              <w:jc w:val="left"/>
            </w:pPr>
            <w:r/>
            <w:r>
              <w:rPr>
                <w:rFonts w:ascii="Calibri" w:hAnsi="Calibri"/>
                <w:sz w:val="18"/>
              </w:rPr>
              <w:t>Technical readers and coauthors</w:t>
            </w:r>
          </w:p>
        </w:tc>
        <w:tc>
          <w:tcPr>
            <w:tcW w:type="dxa" w:w="3960"/>
            <w:vAlign w:val="center"/>
            <w:tcMar>
              <w:top w:w="80" w:type="dxa"/>
              <w:start w:w="120" w:type="dxa"/>
              <w:bottom w:w="80" w:type="dxa"/>
              <w:end w:w="120" w:type="dxa"/>
            </w:tcMar>
          </w:tcPr>
          <w:p>
            <w:pPr>
              <w:spacing w:after="0"/>
              <w:jc w:val="left"/>
            </w:pPr>
            <w:r/>
            <w:r>
              <w:rPr>
                <w:rFonts w:ascii="Calibri" w:hAnsi="Calibri"/>
                <w:sz w:val="18"/>
              </w:rPr>
              <w:t>Formal notation, assumptions, propositions, proof sketches, source crosswalk</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CoauthorDossier.ambitious.docx</w:t>
            </w:r>
          </w:p>
        </w:tc>
        <w:tc>
          <w:tcPr>
            <w:tcW w:type="dxa" w:w="3000"/>
            <w:vAlign w:val="center"/>
            <w:tcMar>
              <w:top w:w="80" w:type="dxa"/>
              <w:start w:w="120" w:type="dxa"/>
              <w:bottom w:w="80" w:type="dxa"/>
              <w:end w:w="120" w:type="dxa"/>
            </w:tcMar>
          </w:tcPr>
          <w:p>
            <w:pPr>
              <w:spacing w:after="0"/>
              <w:jc w:val="left"/>
            </w:pPr>
            <w:r/>
            <w:r>
              <w:rPr>
                <w:rFonts w:ascii="Calibri" w:hAnsi="Calibri"/>
                <w:sz w:val="18"/>
              </w:rPr>
              <w:t>Coauthors</w:t>
            </w:r>
          </w:p>
        </w:tc>
        <w:tc>
          <w:tcPr>
            <w:tcW w:type="dxa" w:w="3960"/>
            <w:vAlign w:val="center"/>
            <w:tcMar>
              <w:top w:w="80" w:type="dxa"/>
              <w:start w:w="120" w:type="dxa"/>
              <w:bottom w:w="80" w:type="dxa"/>
              <w:end w:w="120" w:type="dxa"/>
            </w:tcMar>
          </w:tcPr>
          <w:p>
            <w:pPr>
              <w:spacing w:after="0"/>
              <w:jc w:val="left"/>
            </w:pPr>
            <w:r/>
            <w:r>
              <w:rPr>
                <w:rFonts w:ascii="Calibri" w:hAnsi="Calibri"/>
                <w:sz w:val="18"/>
              </w:rPr>
              <w:t>Claim decisions, open checks, reviewer-response bank</w:t>
            </w:r>
          </w:p>
        </w:tc>
      </w:tr>
    </w:tbl>
    <w:p>
      <w:r>
        <w:t>The architecture deliberately separates exposition from verification. The main chapter should be readable as a chapter. The supplement should be checkable as technical support. The dossier should make coauthor decisions explicit.</w:t>
      </w:r>
    </w:p>
    <w:p>
      <w:pPr>
        <w:pStyle w:val="Heading2"/>
      </w:pPr>
      <w:r>
        <w:t>Executive Judgment</w:t>
      </w:r>
    </w:p>
    <w:p>
      <w:r>
        <w:t>The best version of the chapter is not "accounting is quantum." It is:</w:t>
      </w:r>
    </w:p>
    <w:p>
      <w:pPr>
        <w:spacing w:before="80" w:after="160"/>
        <w:ind w:left="360" w:right="360"/>
      </w:pPr>
      <w:r>
        <w:rPr>
          <w:i/>
          <w:color w:val="1F3A5F"/>
        </w:rPr>
        <w:t>Double-entry accounting is a classical relational information architecture. Its power comes from preserving structured relationships among accounts, statements, and events. Quantum information theory gives a modern formal vocabulary for seeing why those relationships matter.</w:t>
      </w:r>
    </w:p>
    <w:p>
      <w:r>
        <w:t>This is stronger than a metaphor and weaker than a physical quantum claim. That middle position is the chapter's safest and most interesting territory.</w:t>
      </w:r>
    </w:p>
    <w:p>
      <w:pPr>
        <w:pStyle w:val="Heading2"/>
      </w:pPr>
      <w:r>
        <w:t>Major Decisions Already Made</w:t>
      </w:r>
    </w:p>
    <w:tbl>
      <w:tblPr>
        <w:tblStyle w:val="TableGrid"/>
        <w:tblW w:type="dxa" w:w="9360"/>
        <w:tblLook w:firstColumn="1" w:firstRow="1" w:lastColumn="0" w:lastRow="0" w:noHBand="0" w:noVBand="1" w:val="04A0"/>
        <w:tblLayout w:type="fixed"/>
      </w:tblPr>
      <w:tblGrid>
        <w:gridCol w:w="4680"/>
        <w:gridCol w:w="4680"/>
      </w:tblGrid>
      <w:tr>
        <w:tc>
          <w:tcPr>
            <w:tcW w:type="dxa" w:w="4680"/>
            <w:vAlign w:val="center"/>
            <w:tcMar>
              <w:top w:w="80" w:type="dxa"/>
              <w:start w:w="120" w:type="dxa"/>
              <w:bottom w:w="80" w:type="dxa"/>
              <w:end w:w="120" w:type="dxa"/>
            </w:tcMar>
            <w:shd w:fill="F4F6F9"/>
          </w:tcPr>
          <w:p>
            <w:pPr>
              <w:spacing w:after="0"/>
              <w:jc w:val="left"/>
            </w:pPr>
            <w:r/>
            <w:r>
              <w:rPr>
                <w:rFonts w:ascii="Calibri" w:hAnsi="Calibri"/>
                <w:b/>
                <w:sz w:val="18"/>
              </w:rPr>
              <w:t>Decision</w:t>
            </w:r>
          </w:p>
        </w:tc>
        <w:tc>
          <w:tcPr>
            <w:tcW w:type="dxa" w:w="4680"/>
            <w:vAlign w:val="center"/>
            <w:tcMar>
              <w:top w:w="80" w:type="dxa"/>
              <w:start w:w="120" w:type="dxa"/>
              <w:bottom w:w="80" w:type="dxa"/>
              <w:end w:w="120" w:type="dxa"/>
            </w:tcMar>
            <w:shd w:fill="F4F6F9"/>
          </w:tcPr>
          <w:p>
            <w:pPr>
              <w:spacing w:after="0"/>
              <w:jc w:val="left"/>
            </w:pPr>
            <w:r/>
            <w:r>
              <w:rPr>
                <w:rFonts w:ascii="Calibri" w:hAnsi="Calibri"/>
                <w:b/>
                <w:sz w:val="18"/>
              </w:rPr>
              <w:t>Rationale</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Keep "quantum era" as context, not hype</w:t>
            </w:r>
          </w:p>
        </w:tc>
        <w:tc>
          <w:tcPr>
            <w:tcW w:type="dxa" w:w="4680"/>
            <w:vAlign w:val="center"/>
            <w:tcMar>
              <w:top w:w="80" w:type="dxa"/>
              <w:start w:w="120" w:type="dxa"/>
              <w:bottom w:w="80" w:type="dxa"/>
              <w:end w:w="120" w:type="dxa"/>
            </w:tcMar>
          </w:tcPr>
          <w:p>
            <w:pPr>
              <w:spacing w:after="0"/>
              <w:jc w:val="left"/>
            </w:pPr>
            <w:r/>
            <w:r>
              <w:rPr>
                <w:rFonts w:ascii="Calibri" w:hAnsi="Calibri"/>
                <w:sz w:val="18"/>
              </w:rPr>
              <w:t>Quantum information motivates the comparison, but the chapter is about accounting architecture</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State universality as representational</w:t>
            </w:r>
          </w:p>
        </w:tc>
        <w:tc>
          <w:tcPr>
            <w:tcW w:type="dxa" w:w="4680"/>
            <w:vAlign w:val="center"/>
            <w:tcMar>
              <w:top w:w="80" w:type="dxa"/>
              <w:start w:w="120" w:type="dxa"/>
              <w:bottom w:w="80" w:type="dxa"/>
              <w:end w:w="120" w:type="dxa"/>
            </w:tcMar>
          </w:tcPr>
          <w:p>
            <w:pPr>
              <w:spacing w:after="0"/>
              <w:jc w:val="left"/>
            </w:pPr>
            <w:r/>
            <w:r>
              <w:rPr>
                <w:rFonts w:ascii="Calibri" w:hAnsi="Calibri"/>
                <w:sz w:val="18"/>
              </w:rPr>
              <w:t>The source supports representation of a universal gate set, not physical computation</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Treat amplitudes as separate bookkeeping</w:t>
            </w:r>
          </w:p>
        </w:tc>
        <w:tc>
          <w:tcPr>
            <w:tcW w:type="dxa" w:w="4680"/>
            <w:vAlign w:val="center"/>
            <w:tcMar>
              <w:top w:w="80" w:type="dxa"/>
              <w:start w:w="120" w:type="dxa"/>
              <w:bottom w:w="80" w:type="dxa"/>
              <w:end w:w="120" w:type="dxa"/>
            </w:tcMar>
          </w:tcPr>
          <w:p>
            <w:pPr>
              <w:spacing w:after="0"/>
              <w:jc w:val="left"/>
            </w:pPr>
            <w:r/>
            <w:r>
              <w:rPr>
                <w:rFonts w:ascii="Calibri" w:hAnsi="Calibri"/>
                <w:sz w:val="18"/>
              </w:rPr>
              <w:t>Prevents the accounting notation from being mistaken for complete quantum probability</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Make articulation the accounting center</w:t>
            </w:r>
          </w:p>
        </w:tc>
        <w:tc>
          <w:tcPr>
            <w:tcW w:type="dxa" w:w="4680"/>
            <w:vAlign w:val="center"/>
            <w:tcMar>
              <w:top w:w="80" w:type="dxa"/>
              <w:start w:w="120" w:type="dxa"/>
              <w:bottom w:w="80" w:type="dxa"/>
              <w:end w:w="120" w:type="dxa"/>
            </w:tcMar>
          </w:tcPr>
          <w:p>
            <w:pPr>
              <w:spacing w:after="0"/>
              <w:jc w:val="left"/>
            </w:pPr>
            <w:r/>
            <w:r>
              <w:rPr>
                <w:rFonts w:ascii="Calibri" w:hAnsi="Calibri"/>
                <w:sz w:val="18"/>
              </w:rPr>
              <w:t>The channel-capacity result is strongest when framed as articulation preserving distinctions</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Keep odd-cycle result narrow</w:t>
            </w:r>
          </w:p>
        </w:tc>
        <w:tc>
          <w:tcPr>
            <w:tcW w:type="dxa" w:w="4680"/>
            <w:vAlign w:val="center"/>
            <w:tcMar>
              <w:top w:w="80" w:type="dxa"/>
              <w:start w:w="120" w:type="dxa"/>
              <w:bottom w:w="80" w:type="dxa"/>
              <w:end w:w="120" w:type="dxa"/>
            </w:tcMar>
          </w:tcPr>
          <w:p>
            <w:pPr>
              <w:spacing w:after="0"/>
              <w:jc w:val="left"/>
            </w:pPr>
            <w:r/>
            <w:r>
              <w:rPr>
                <w:rFonts w:ascii="Calibri" w:hAnsi="Calibri"/>
                <w:sz w:val="18"/>
              </w:rPr>
              <w:t>The result supports relational advantage in a specified model, not a general claim about all coordination</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Move technical details to supplement</w:t>
            </w:r>
          </w:p>
        </w:tc>
        <w:tc>
          <w:tcPr>
            <w:tcW w:type="dxa" w:w="4680"/>
            <w:vAlign w:val="center"/>
            <w:tcMar>
              <w:top w:w="80" w:type="dxa"/>
              <w:start w:w="120" w:type="dxa"/>
              <w:bottom w:w="80" w:type="dxa"/>
              <w:end w:w="120" w:type="dxa"/>
            </w:tcMar>
          </w:tcPr>
          <w:p>
            <w:pPr>
              <w:spacing w:after="0"/>
              <w:jc w:val="left"/>
            </w:pPr>
            <w:r/>
            <w:r>
              <w:rPr>
                <w:rFonts w:ascii="Calibri" w:hAnsi="Calibri"/>
                <w:sz w:val="18"/>
              </w:rPr>
              <w:t>Lets the main chapter stay readable while keeping the formal defense available</w:t>
            </w:r>
          </w:p>
        </w:tc>
      </w:tr>
    </w:tbl>
    <w:p>
      <w:pPr>
        <w:pStyle w:val="Heading2"/>
      </w:pPr>
      <w:r>
        <w:t>Remaining Coauthor Checks</w:t>
      </w:r>
    </w:p>
    <w:p>
      <w:pPr>
        <w:pStyle w:val="ListNumber"/>
      </w:pPr>
      <w:r>
        <w:t>Confirm that the description of Fellingham, Lin, and Schroeder (2022) does not overstate the decision/accounting/information equivalence.</w:t>
      </w:r>
    </w:p>
    <w:p>
      <w:pPr>
        <w:pStyle w:val="ListNumber"/>
      </w:pPr>
      <w:r>
        <w:t>Confirm the Demski, Fellingham, Lin, and Schroeder (2008) performance-measurement summary before relying heavily on the agency implications.</w:t>
      </w:r>
    </w:p>
    <w:p>
      <w:pPr>
        <w:pStyle w:val="ListNumber"/>
      </w:pPr>
      <w:r>
        <w:t>Decide whether the terms "superposition property" and "entanglement property" should remain as named accounting properties or be softened throughout to "superposition analogue" and "entanglement analogue."</w:t>
      </w:r>
    </w:p>
    <w:p>
      <w:pPr>
        <w:pStyle w:val="ListNumber"/>
      </w:pPr>
      <w:r>
        <w:t>Confirm the n-account wording in the chapter and supplement: one-account/two-bit capacity is separate from the broader n-bit extension.</w:t>
      </w:r>
    </w:p>
    <w:p>
      <w:pPr>
        <w:pStyle w:val="ListNumber"/>
      </w:pPr>
      <w:r>
        <w:t>Decide whether the main chapter should keep all formal callouts or move some of them entirely into the supplement.</w:t>
      </w:r>
    </w:p>
    <w:p>
      <w:pPr>
        <w:pStyle w:val="Heading2"/>
      </w:pPr>
      <w:r>
        <w:t>Claim Discipline Matrix</w:t>
      </w:r>
    </w:p>
    <w:tbl>
      <w:tblPr>
        <w:tblStyle w:val="TableGrid"/>
        <w:tblW w:type="dxa" w:w="9360"/>
        <w:tblLook w:firstColumn="1" w:firstRow="1" w:lastColumn="0" w:lastRow="0" w:noHBand="0" w:noVBand="1" w:val="04A0"/>
        <w:tblLayout w:type="fixed"/>
      </w:tblPr>
      <w:tblGrid>
        <w:gridCol w:w="1700"/>
        <w:gridCol w:w="2500"/>
        <w:gridCol w:w="1800"/>
        <w:gridCol w:w="3360"/>
      </w:tblGrid>
      <w:tr>
        <w:tc>
          <w:tcPr>
            <w:tcW w:type="dxa" w:w="1700"/>
            <w:vAlign w:val="center"/>
            <w:tcMar>
              <w:top w:w="80" w:type="dxa"/>
              <w:start w:w="120" w:type="dxa"/>
              <w:bottom w:w="80" w:type="dxa"/>
              <w:end w:w="120" w:type="dxa"/>
            </w:tcMar>
            <w:shd w:fill="F4F6F9"/>
          </w:tcPr>
          <w:p>
            <w:pPr>
              <w:spacing w:after="0"/>
              <w:jc w:val="left"/>
            </w:pPr>
            <w:r/>
            <w:r>
              <w:rPr>
                <w:rFonts w:ascii="Calibri" w:hAnsi="Calibri"/>
                <w:b/>
                <w:sz w:val="18"/>
              </w:rPr>
              <w:t>Claim</w:t>
            </w:r>
          </w:p>
        </w:tc>
        <w:tc>
          <w:tcPr>
            <w:tcW w:type="dxa" w:w="2500"/>
            <w:vAlign w:val="center"/>
            <w:tcMar>
              <w:top w:w="80" w:type="dxa"/>
              <w:start w:w="120" w:type="dxa"/>
              <w:bottom w:w="80" w:type="dxa"/>
              <w:end w:w="120" w:type="dxa"/>
            </w:tcMar>
            <w:shd w:fill="F4F6F9"/>
          </w:tcPr>
          <w:p>
            <w:pPr>
              <w:spacing w:after="0"/>
              <w:jc w:val="left"/>
            </w:pPr>
            <w:r/>
            <w:r>
              <w:rPr>
                <w:rFonts w:ascii="Calibri" w:hAnsi="Calibri"/>
                <w:b/>
                <w:sz w:val="18"/>
              </w:rPr>
              <w:t>Status</w:t>
            </w:r>
          </w:p>
        </w:tc>
        <w:tc>
          <w:tcPr>
            <w:tcW w:type="dxa" w:w="1800"/>
            <w:vAlign w:val="center"/>
            <w:tcMar>
              <w:top w:w="80" w:type="dxa"/>
              <w:start w:w="120" w:type="dxa"/>
              <w:bottom w:w="80" w:type="dxa"/>
              <w:end w:w="120" w:type="dxa"/>
            </w:tcMar>
            <w:shd w:fill="F4F6F9"/>
          </w:tcPr>
          <w:p>
            <w:pPr>
              <w:spacing w:after="0"/>
              <w:jc w:val="left"/>
            </w:pPr>
            <w:r/>
            <w:r>
              <w:rPr>
                <w:rFonts w:ascii="Calibri" w:hAnsi="Calibri"/>
                <w:b/>
                <w:sz w:val="18"/>
              </w:rPr>
              <w:t>Keep?</w:t>
            </w:r>
          </w:p>
        </w:tc>
        <w:tc>
          <w:tcPr>
            <w:tcW w:type="dxa" w:w="3360"/>
            <w:vAlign w:val="center"/>
            <w:tcMar>
              <w:top w:w="80" w:type="dxa"/>
              <w:start w:w="120" w:type="dxa"/>
              <w:bottom w:w="80" w:type="dxa"/>
              <w:end w:w="120" w:type="dxa"/>
            </w:tcMar>
            <w:shd w:fill="F4F6F9"/>
          </w:tcPr>
          <w:p>
            <w:pPr>
              <w:spacing w:after="0"/>
              <w:jc w:val="left"/>
            </w:pPr>
            <w:r/>
            <w:r>
              <w:rPr>
                <w:rFonts w:ascii="Calibri" w:hAnsi="Calibri"/>
                <w:b/>
                <w:sz w:val="18"/>
              </w:rPr>
              <w:t>Wording guardrail</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Double entry is relational information architecture</w:t>
            </w:r>
          </w:p>
        </w:tc>
        <w:tc>
          <w:tcPr>
            <w:tcW w:type="dxa" w:w="2500"/>
            <w:vAlign w:val="center"/>
            <w:tcMar>
              <w:top w:w="80" w:type="dxa"/>
              <w:start w:w="120" w:type="dxa"/>
              <w:bottom w:w="80" w:type="dxa"/>
              <w:end w:w="120" w:type="dxa"/>
            </w:tcMar>
          </w:tcPr>
          <w:p>
            <w:pPr>
              <w:spacing w:after="0"/>
              <w:jc w:val="left"/>
            </w:pPr>
            <w:r/>
            <w:r>
              <w:rPr>
                <w:rFonts w:ascii="Calibri" w:hAnsi="Calibri"/>
                <w:sz w:val="18"/>
              </w:rPr>
              <w:t>Interpretive synthesis</w:t>
            </w:r>
          </w:p>
        </w:tc>
        <w:tc>
          <w:tcPr>
            <w:tcW w:type="dxa" w:w="1800"/>
            <w:vAlign w:val="center"/>
            <w:tcMar>
              <w:top w:w="80" w:type="dxa"/>
              <w:start w:w="120" w:type="dxa"/>
              <w:bottom w:w="80" w:type="dxa"/>
              <w:end w:w="120" w:type="dxa"/>
            </w:tcMar>
          </w:tcPr>
          <w:p>
            <w:pPr>
              <w:spacing w:after="0"/>
              <w:jc w:val="left"/>
            </w:pPr>
            <w:r/>
            <w:r>
              <w:rPr>
                <w:rFonts w:ascii="Calibri" w:hAnsi="Calibri"/>
                <w:sz w:val="18"/>
              </w:rPr>
              <w:t>Yes</w:t>
            </w:r>
          </w:p>
        </w:tc>
        <w:tc>
          <w:tcPr>
            <w:tcW w:type="dxa" w:w="3360"/>
            <w:vAlign w:val="center"/>
            <w:tcMar>
              <w:top w:w="80" w:type="dxa"/>
              <w:start w:w="120" w:type="dxa"/>
              <w:bottom w:w="80" w:type="dxa"/>
              <w:end w:w="120" w:type="dxa"/>
            </w:tcMar>
          </w:tcPr>
          <w:p>
            <w:pPr>
              <w:spacing w:after="0"/>
              <w:jc w:val="left"/>
            </w:pPr>
            <w:r/>
            <w:r>
              <w:rPr>
                <w:rFonts w:ascii="Calibri" w:hAnsi="Calibri"/>
                <w:sz w:val="18"/>
              </w:rPr>
              <w:t>"Offers one explanation," not "fully explains history"</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T-accounts can represent basis labels</w:t>
            </w:r>
          </w:p>
        </w:tc>
        <w:tc>
          <w:tcPr>
            <w:tcW w:type="dxa" w:w="2500"/>
            <w:vAlign w:val="center"/>
            <w:tcMar>
              <w:top w:w="80" w:type="dxa"/>
              <w:start w:w="120" w:type="dxa"/>
              <w:bottom w:w="80" w:type="dxa"/>
              <w:end w:w="120" w:type="dxa"/>
            </w:tcMar>
          </w:tcPr>
          <w:p>
            <w:pPr>
              <w:spacing w:after="0"/>
              <w:jc w:val="left"/>
            </w:pPr>
            <w:r/>
            <w:r>
              <w:rPr>
                <w:rFonts w:ascii="Calibri" w:hAnsi="Calibri"/>
                <w:sz w:val="18"/>
              </w:rPr>
              <w:t>Representation claim</w:t>
            </w:r>
          </w:p>
        </w:tc>
        <w:tc>
          <w:tcPr>
            <w:tcW w:type="dxa" w:w="1800"/>
            <w:vAlign w:val="center"/>
            <w:tcMar>
              <w:top w:w="80" w:type="dxa"/>
              <w:start w:w="120" w:type="dxa"/>
              <w:bottom w:w="80" w:type="dxa"/>
              <w:end w:w="120" w:type="dxa"/>
            </w:tcMar>
          </w:tcPr>
          <w:p>
            <w:pPr>
              <w:spacing w:after="0"/>
              <w:jc w:val="left"/>
            </w:pPr>
            <w:r/>
            <w:r>
              <w:rPr>
                <w:rFonts w:ascii="Calibri" w:hAnsi="Calibri"/>
                <w:sz w:val="18"/>
              </w:rPr>
              <w:t>Yes</w:t>
            </w:r>
          </w:p>
        </w:tc>
        <w:tc>
          <w:tcPr>
            <w:tcW w:type="dxa" w:w="3360"/>
            <w:vAlign w:val="center"/>
            <w:tcMar>
              <w:top w:w="80" w:type="dxa"/>
              <w:start w:w="120" w:type="dxa"/>
              <w:bottom w:w="80" w:type="dxa"/>
              <w:end w:w="120" w:type="dxa"/>
            </w:tcMar>
          </w:tcPr>
          <w:p>
            <w:pPr>
              <w:spacing w:after="0"/>
              <w:jc w:val="left"/>
            </w:pPr>
            <w:r/>
            <w:r>
              <w:rPr>
                <w:rFonts w:ascii="Calibri" w:hAnsi="Calibri"/>
                <w:sz w:val="18"/>
              </w:rPr>
              <w:t>"Represent," not "are"</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Journal entries can represent gates</w:t>
            </w:r>
          </w:p>
        </w:tc>
        <w:tc>
          <w:tcPr>
            <w:tcW w:type="dxa" w:w="2500"/>
            <w:vAlign w:val="center"/>
            <w:tcMar>
              <w:top w:w="80" w:type="dxa"/>
              <w:start w:w="120" w:type="dxa"/>
              <w:bottom w:w="80" w:type="dxa"/>
              <w:end w:w="120" w:type="dxa"/>
            </w:tcMar>
          </w:tcPr>
          <w:p>
            <w:pPr>
              <w:spacing w:after="0"/>
              <w:jc w:val="left"/>
            </w:pPr>
            <w:r/>
            <w:r>
              <w:rPr>
                <w:rFonts w:ascii="Calibri" w:hAnsi="Calibri"/>
                <w:sz w:val="18"/>
              </w:rPr>
              <w:t>Representation claim</w:t>
            </w:r>
          </w:p>
        </w:tc>
        <w:tc>
          <w:tcPr>
            <w:tcW w:type="dxa" w:w="1800"/>
            <w:vAlign w:val="center"/>
            <w:tcMar>
              <w:top w:w="80" w:type="dxa"/>
              <w:start w:w="120" w:type="dxa"/>
              <w:bottom w:w="80" w:type="dxa"/>
              <w:end w:w="120" w:type="dxa"/>
            </w:tcMar>
          </w:tcPr>
          <w:p>
            <w:pPr>
              <w:spacing w:after="0"/>
              <w:jc w:val="left"/>
            </w:pPr>
            <w:r/>
            <w:r>
              <w:rPr>
                <w:rFonts w:ascii="Calibri" w:hAnsi="Calibri"/>
                <w:sz w:val="18"/>
              </w:rPr>
              <w:t>Yes</w:t>
            </w:r>
          </w:p>
        </w:tc>
        <w:tc>
          <w:tcPr>
            <w:tcW w:type="dxa" w:w="3360"/>
            <w:vAlign w:val="center"/>
            <w:tcMar>
              <w:top w:w="80" w:type="dxa"/>
              <w:start w:w="120" w:type="dxa"/>
              <w:bottom w:w="80" w:type="dxa"/>
              <w:end w:w="120" w:type="dxa"/>
            </w:tcMar>
          </w:tcPr>
          <w:p>
            <w:pPr>
              <w:spacing w:after="0"/>
              <w:jc w:val="left"/>
            </w:pPr>
            <w:r/>
            <w:r>
              <w:rPr>
                <w:rFonts w:ascii="Calibri" w:hAnsi="Calibri"/>
                <w:sz w:val="18"/>
              </w:rPr>
              <w:t>Amplitudes tracked separately</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Toffoli plus Hadamard gives universality</w:t>
            </w:r>
          </w:p>
        </w:tc>
        <w:tc>
          <w:tcPr>
            <w:tcW w:type="dxa" w:w="2500"/>
            <w:vAlign w:val="center"/>
            <w:tcMar>
              <w:top w:w="80" w:type="dxa"/>
              <w:start w:w="120" w:type="dxa"/>
              <w:bottom w:w="80" w:type="dxa"/>
              <w:end w:w="120" w:type="dxa"/>
            </w:tcMar>
          </w:tcPr>
          <w:p>
            <w:pPr>
              <w:spacing w:after="0"/>
              <w:jc w:val="left"/>
            </w:pPr>
            <w:r/>
            <w:r>
              <w:rPr>
                <w:rFonts w:ascii="Calibri" w:hAnsi="Calibri"/>
                <w:sz w:val="18"/>
              </w:rPr>
              <w:t>Established theorem plus representation</w:t>
            </w:r>
          </w:p>
        </w:tc>
        <w:tc>
          <w:tcPr>
            <w:tcW w:type="dxa" w:w="1800"/>
            <w:vAlign w:val="center"/>
            <w:tcMar>
              <w:top w:w="80" w:type="dxa"/>
              <w:start w:w="120" w:type="dxa"/>
              <w:bottom w:w="80" w:type="dxa"/>
              <w:end w:w="120" w:type="dxa"/>
            </w:tcMar>
          </w:tcPr>
          <w:p>
            <w:pPr>
              <w:spacing w:after="0"/>
              <w:jc w:val="left"/>
            </w:pPr>
            <w:r/>
            <w:r>
              <w:rPr>
                <w:rFonts w:ascii="Calibri" w:hAnsi="Calibri"/>
                <w:sz w:val="18"/>
              </w:rPr>
              <w:t>Yes</w:t>
            </w:r>
          </w:p>
        </w:tc>
        <w:tc>
          <w:tcPr>
            <w:tcW w:type="dxa" w:w="3360"/>
            <w:vAlign w:val="center"/>
            <w:tcMar>
              <w:top w:w="80" w:type="dxa"/>
              <w:start w:w="120" w:type="dxa"/>
              <w:bottom w:w="80" w:type="dxa"/>
              <w:end w:w="120" w:type="dxa"/>
            </w:tcMar>
          </w:tcPr>
          <w:p>
            <w:pPr>
              <w:spacing w:after="0"/>
              <w:jc w:val="left"/>
            </w:pPr>
            <w:r/>
            <w:r>
              <w:rPr>
                <w:rFonts w:ascii="Calibri" w:hAnsi="Calibri"/>
                <w:sz w:val="18"/>
              </w:rPr>
              <w:t>"Can represent a universal gate set"</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One account can transmit two bits under articulation</w:t>
            </w:r>
          </w:p>
        </w:tc>
        <w:tc>
          <w:tcPr>
            <w:tcW w:type="dxa" w:w="2500"/>
            <w:vAlign w:val="center"/>
            <w:tcMar>
              <w:top w:w="80" w:type="dxa"/>
              <w:start w:w="120" w:type="dxa"/>
              <w:bottom w:w="80" w:type="dxa"/>
              <w:end w:w="120" w:type="dxa"/>
            </w:tcMar>
          </w:tcPr>
          <w:p>
            <w:pPr>
              <w:spacing w:after="0"/>
              <w:jc w:val="left"/>
            </w:pPr>
            <w:r/>
            <w:r>
              <w:rPr>
                <w:rFonts w:ascii="Calibri" w:hAnsi="Calibri"/>
                <w:sz w:val="18"/>
              </w:rPr>
              <w:t>Source result</w:t>
            </w:r>
          </w:p>
        </w:tc>
        <w:tc>
          <w:tcPr>
            <w:tcW w:type="dxa" w:w="1800"/>
            <w:vAlign w:val="center"/>
            <w:tcMar>
              <w:top w:w="80" w:type="dxa"/>
              <w:start w:w="120" w:type="dxa"/>
              <w:bottom w:w="80" w:type="dxa"/>
              <w:end w:w="120" w:type="dxa"/>
            </w:tcMar>
          </w:tcPr>
          <w:p>
            <w:pPr>
              <w:spacing w:after="0"/>
              <w:jc w:val="left"/>
            </w:pPr>
            <w:r/>
            <w:r>
              <w:rPr>
                <w:rFonts w:ascii="Calibri" w:hAnsi="Calibri"/>
                <w:sz w:val="18"/>
              </w:rPr>
              <w:t>Yes</w:t>
            </w:r>
          </w:p>
        </w:tc>
        <w:tc>
          <w:tcPr>
            <w:tcW w:type="dxa" w:w="3360"/>
            <w:vAlign w:val="center"/>
            <w:tcMar>
              <w:top w:w="80" w:type="dxa"/>
              <w:start w:w="120" w:type="dxa"/>
              <w:bottom w:w="80" w:type="dxa"/>
              <w:end w:w="120" w:type="dxa"/>
            </w:tcMar>
          </w:tcPr>
          <w:p>
            <w:pPr>
              <w:spacing w:after="0"/>
              <w:jc w:val="left"/>
            </w:pPr>
            <w:r/>
            <w:r>
              <w:rPr>
                <w:rFonts w:ascii="Calibri" w:hAnsi="Calibri"/>
                <w:sz w:val="18"/>
              </w:rPr>
              <w:t>State scale abstraction and articulation conditions</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More accounts automatically mean more bits</w:t>
            </w:r>
          </w:p>
        </w:tc>
        <w:tc>
          <w:tcPr>
            <w:tcW w:type="dxa" w:w="2500"/>
            <w:vAlign w:val="center"/>
            <w:tcMar>
              <w:top w:w="80" w:type="dxa"/>
              <w:start w:w="120" w:type="dxa"/>
              <w:bottom w:w="80" w:type="dxa"/>
              <w:end w:w="120" w:type="dxa"/>
            </w:tcMar>
          </w:tcPr>
          <w:p>
            <w:pPr>
              <w:spacing w:after="0"/>
              <w:jc w:val="left"/>
            </w:pPr>
            <w:r/>
            <w:r>
              <w:rPr>
                <w:rFonts w:ascii="Calibri" w:hAnsi="Calibri"/>
                <w:sz w:val="18"/>
              </w:rPr>
              <w:t>Overstatement</w:t>
            </w:r>
          </w:p>
        </w:tc>
        <w:tc>
          <w:tcPr>
            <w:tcW w:type="dxa" w:w="1800"/>
            <w:vAlign w:val="center"/>
            <w:tcMar>
              <w:top w:w="80" w:type="dxa"/>
              <w:start w:w="120" w:type="dxa"/>
              <w:bottom w:w="80" w:type="dxa"/>
              <w:end w:w="120" w:type="dxa"/>
            </w:tcMar>
          </w:tcPr>
          <w:p>
            <w:pPr>
              <w:spacing w:after="0"/>
              <w:jc w:val="left"/>
            </w:pPr>
            <w:r/>
            <w:r>
              <w:rPr>
                <w:rFonts w:ascii="Calibri" w:hAnsi="Calibri"/>
                <w:sz w:val="18"/>
              </w:rPr>
              <w:t>No</w:t>
            </w:r>
          </w:p>
        </w:tc>
        <w:tc>
          <w:tcPr>
            <w:tcW w:type="dxa" w:w="3360"/>
            <w:vAlign w:val="center"/>
            <w:tcMar>
              <w:top w:w="80" w:type="dxa"/>
              <w:start w:w="120" w:type="dxa"/>
              <w:bottom w:w="80" w:type="dxa"/>
              <w:end w:w="120" w:type="dxa"/>
            </w:tcMar>
          </w:tcPr>
          <w:p>
            <w:pPr>
              <w:spacing w:after="0"/>
              <w:jc w:val="left"/>
            </w:pPr>
            <w:r/>
            <w:r>
              <w:rPr>
                <w:rFonts w:ascii="Calibri" w:hAnsi="Calibri"/>
                <w:sz w:val="18"/>
              </w:rPr>
              <w:t>Require expanded message structure and articulation</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Bell states model nonseparable relationships</w:t>
            </w:r>
          </w:p>
        </w:tc>
        <w:tc>
          <w:tcPr>
            <w:tcW w:type="dxa" w:w="2500"/>
            <w:vAlign w:val="center"/>
            <w:tcMar>
              <w:top w:w="80" w:type="dxa"/>
              <w:start w:w="120" w:type="dxa"/>
              <w:bottom w:w="80" w:type="dxa"/>
              <w:end w:w="120" w:type="dxa"/>
            </w:tcMar>
          </w:tcPr>
          <w:p>
            <w:pPr>
              <w:spacing w:after="0"/>
              <w:jc w:val="left"/>
            </w:pPr>
            <w:r/>
            <w:r>
              <w:rPr>
                <w:rFonts w:ascii="Calibri" w:hAnsi="Calibri"/>
                <w:sz w:val="18"/>
              </w:rPr>
              <w:t>Established result plus analogy</w:t>
            </w:r>
          </w:p>
        </w:tc>
        <w:tc>
          <w:tcPr>
            <w:tcW w:type="dxa" w:w="1800"/>
            <w:vAlign w:val="center"/>
            <w:tcMar>
              <w:top w:w="80" w:type="dxa"/>
              <w:start w:w="120" w:type="dxa"/>
              <w:bottom w:w="80" w:type="dxa"/>
              <w:end w:w="120" w:type="dxa"/>
            </w:tcMar>
          </w:tcPr>
          <w:p>
            <w:pPr>
              <w:spacing w:after="0"/>
              <w:jc w:val="left"/>
            </w:pPr>
            <w:r/>
            <w:r>
              <w:rPr>
                <w:rFonts w:ascii="Calibri" w:hAnsi="Calibri"/>
                <w:sz w:val="18"/>
              </w:rPr>
              <w:t>Yes</w:t>
            </w:r>
          </w:p>
        </w:tc>
        <w:tc>
          <w:tcPr>
            <w:tcW w:type="dxa" w:w="3360"/>
            <w:vAlign w:val="center"/>
            <w:tcMar>
              <w:top w:w="80" w:type="dxa"/>
              <w:start w:w="120" w:type="dxa"/>
              <w:bottom w:w="80" w:type="dxa"/>
              <w:end w:w="120" w:type="dxa"/>
            </w:tcMar>
          </w:tcPr>
          <w:p>
            <w:pPr>
              <w:spacing w:after="0"/>
              <w:jc w:val="left"/>
            </w:pPr>
            <w:r/>
            <w:r>
              <w:rPr>
                <w:rFonts w:ascii="Calibri" w:hAnsi="Calibri"/>
                <w:sz w:val="18"/>
              </w:rPr>
              <w:t>"Model" or "analogue," not literal accounts entangled</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Odd-cycle entangled strategy beats classical</w:t>
            </w:r>
          </w:p>
        </w:tc>
        <w:tc>
          <w:tcPr>
            <w:tcW w:type="dxa" w:w="2500"/>
            <w:vAlign w:val="center"/>
            <w:tcMar>
              <w:top w:w="80" w:type="dxa"/>
              <w:start w:w="120" w:type="dxa"/>
              <w:bottom w:w="80" w:type="dxa"/>
              <w:end w:w="120" w:type="dxa"/>
            </w:tcMar>
          </w:tcPr>
          <w:p>
            <w:pPr>
              <w:spacing w:after="0"/>
              <w:jc w:val="left"/>
            </w:pPr>
            <w:r/>
            <w:r>
              <w:rPr>
                <w:rFonts w:ascii="Calibri" w:hAnsi="Calibri"/>
                <w:sz w:val="18"/>
              </w:rPr>
              <w:t>Source result</w:t>
            </w:r>
          </w:p>
        </w:tc>
        <w:tc>
          <w:tcPr>
            <w:tcW w:type="dxa" w:w="1800"/>
            <w:vAlign w:val="center"/>
            <w:tcMar>
              <w:top w:w="80" w:type="dxa"/>
              <w:start w:w="120" w:type="dxa"/>
              <w:bottom w:w="80" w:type="dxa"/>
              <w:end w:w="120" w:type="dxa"/>
            </w:tcMar>
          </w:tcPr>
          <w:p>
            <w:pPr>
              <w:spacing w:after="0"/>
              <w:jc w:val="left"/>
            </w:pPr>
            <w:r/>
            <w:r>
              <w:rPr>
                <w:rFonts w:ascii="Calibri" w:hAnsi="Calibri"/>
                <w:sz w:val="18"/>
              </w:rPr>
              <w:t>Yes</w:t>
            </w:r>
          </w:p>
        </w:tc>
        <w:tc>
          <w:tcPr>
            <w:tcW w:type="dxa" w:w="3360"/>
            <w:vAlign w:val="center"/>
            <w:tcMar>
              <w:top w:w="80" w:type="dxa"/>
              <w:start w:w="120" w:type="dxa"/>
              <w:bottom w:w="80" w:type="dxa"/>
              <w:end w:w="120" w:type="dxa"/>
            </w:tcMar>
          </w:tcPr>
          <w:p>
            <w:pPr>
              <w:spacing w:after="0"/>
              <w:jc w:val="left"/>
            </w:pPr>
            <w:r/>
            <w:r>
              <w:rPr>
                <w:rFonts w:ascii="Calibri" w:hAnsi="Calibri"/>
                <w:sz w:val="18"/>
              </w:rPr>
              <w:t>"In the specified three-seat model"</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Superposition alone performs worse</w:t>
            </w:r>
          </w:p>
        </w:tc>
        <w:tc>
          <w:tcPr>
            <w:tcW w:type="dxa" w:w="2500"/>
            <w:vAlign w:val="center"/>
            <w:tcMar>
              <w:top w:w="80" w:type="dxa"/>
              <w:start w:w="120" w:type="dxa"/>
              <w:bottom w:w="80" w:type="dxa"/>
              <w:end w:w="120" w:type="dxa"/>
            </w:tcMar>
          </w:tcPr>
          <w:p>
            <w:pPr>
              <w:spacing w:after="0"/>
              <w:jc w:val="left"/>
            </w:pPr>
            <w:r/>
            <w:r>
              <w:rPr>
                <w:rFonts w:ascii="Calibri" w:hAnsi="Calibri"/>
                <w:sz w:val="18"/>
              </w:rPr>
              <w:t>Source result</w:t>
            </w:r>
          </w:p>
        </w:tc>
        <w:tc>
          <w:tcPr>
            <w:tcW w:type="dxa" w:w="1800"/>
            <w:vAlign w:val="center"/>
            <w:tcMar>
              <w:top w:w="80" w:type="dxa"/>
              <w:start w:w="120" w:type="dxa"/>
              <w:bottom w:w="80" w:type="dxa"/>
              <w:end w:w="120" w:type="dxa"/>
            </w:tcMar>
          </w:tcPr>
          <w:p>
            <w:pPr>
              <w:spacing w:after="0"/>
              <w:jc w:val="left"/>
            </w:pPr>
            <w:r/>
            <w:r>
              <w:rPr>
                <w:rFonts w:ascii="Calibri" w:hAnsi="Calibri"/>
                <w:sz w:val="18"/>
              </w:rPr>
              <w:t>Yes</w:t>
            </w:r>
          </w:p>
        </w:tc>
        <w:tc>
          <w:tcPr>
            <w:tcW w:type="dxa" w:w="3360"/>
            <w:vAlign w:val="center"/>
            <w:tcMar>
              <w:top w:w="80" w:type="dxa"/>
              <w:start w:w="120" w:type="dxa"/>
              <w:bottom w:w="80" w:type="dxa"/>
              <w:end w:w="120" w:type="dxa"/>
            </w:tcMar>
          </w:tcPr>
          <w:p>
            <w:pPr>
              <w:spacing w:after="0"/>
              <w:jc w:val="left"/>
            </w:pPr>
            <w:r/>
            <w:r>
              <w:rPr>
                <w:rFonts w:ascii="Calibri" w:hAnsi="Calibri"/>
                <w:sz w:val="18"/>
              </w:rPr>
              <w:t>"In this model," not generally</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Group measurement can preserve joint information</w:t>
            </w:r>
          </w:p>
        </w:tc>
        <w:tc>
          <w:tcPr>
            <w:tcW w:type="dxa" w:w="2500"/>
            <w:vAlign w:val="center"/>
            <w:tcMar>
              <w:top w:w="80" w:type="dxa"/>
              <w:start w:w="120" w:type="dxa"/>
              <w:bottom w:w="80" w:type="dxa"/>
              <w:end w:w="120" w:type="dxa"/>
            </w:tcMar>
          </w:tcPr>
          <w:p>
            <w:pPr>
              <w:spacing w:after="0"/>
              <w:jc w:val="left"/>
            </w:pPr>
            <w:r/>
            <w:r>
              <w:rPr>
                <w:rFonts w:ascii="Calibri" w:hAnsi="Calibri"/>
                <w:sz w:val="18"/>
              </w:rPr>
              <w:t>Analogy plus cited agency source</w:t>
            </w:r>
          </w:p>
        </w:tc>
        <w:tc>
          <w:tcPr>
            <w:tcW w:type="dxa" w:w="1800"/>
            <w:vAlign w:val="center"/>
            <w:tcMar>
              <w:top w:w="80" w:type="dxa"/>
              <w:start w:w="120" w:type="dxa"/>
              <w:bottom w:w="80" w:type="dxa"/>
              <w:end w:w="120" w:type="dxa"/>
            </w:tcMar>
          </w:tcPr>
          <w:p>
            <w:pPr>
              <w:spacing w:after="0"/>
              <w:jc w:val="left"/>
            </w:pPr>
            <w:r/>
            <w:r>
              <w:rPr>
                <w:rFonts w:ascii="Calibri" w:hAnsi="Calibri"/>
                <w:sz w:val="18"/>
              </w:rPr>
              <w:t>Yes, cautiously</w:t>
            </w:r>
          </w:p>
        </w:tc>
        <w:tc>
          <w:tcPr>
            <w:tcW w:type="dxa" w:w="3360"/>
            <w:vAlign w:val="center"/>
            <w:tcMar>
              <w:top w:w="80" w:type="dxa"/>
              <w:start w:w="120" w:type="dxa"/>
              <w:bottom w:w="80" w:type="dxa"/>
              <w:end w:w="120" w:type="dxa"/>
            </w:tcMar>
          </w:tcPr>
          <w:p>
            <w:pPr>
              <w:spacing w:after="0"/>
              <w:jc w:val="left"/>
            </w:pPr>
            <w:r/>
            <w:r>
              <w:rPr>
                <w:rFonts w:ascii="Calibri" w:hAnsi="Calibri"/>
                <w:sz w:val="18"/>
              </w:rPr>
              <w:t>Verify 2008 source before strengthening</w:t>
            </w:r>
          </w:p>
        </w:tc>
      </w:tr>
    </w:tbl>
    <w:p>
      <w:pPr>
        <w:pStyle w:val="Heading2"/>
      </w:pPr>
      <w:r>
        <w:t>Reviewer-Response Bank</w:t>
      </w:r>
    </w:p>
    <w:p>
      <w:r>
        <w:rPr>
          <w:b/>
        </w:rPr>
        <w:t>Objection: Are you saying accounting is quantum?</w:t>
      </w:r>
    </w:p>
    <w:p>
      <w:r>
        <w:t>No. The chapter says double entry is a classical relational information architecture. Quantum information theory supplies a language for describing relationships, transformations, nonseparability, and measurement.</w:t>
      </w:r>
    </w:p>
    <w:p>
      <w:r>
        <w:rPr>
          <w:b/>
        </w:rPr>
        <w:t>Objection: If amplitudes are external, what does accounting add?</w:t>
      </w:r>
    </w:p>
    <w:p>
      <w:r>
        <w:t>The accounting notation adds a concrete representation of basis labels, transformations, conditional operations, and articulated relationships. It does not replace amplitude calculus; it makes the relational structure visible in accounting language.</w:t>
      </w:r>
    </w:p>
    <w:p>
      <w:r>
        <w:rPr>
          <w:b/>
        </w:rPr>
        <w:t>Objection: Does representational universality mean accounting systems can compute quantum algorithms?</w:t>
      </w:r>
    </w:p>
    <w:p>
      <w:r>
        <w:t>No. It means the notation can represent a universal gate set when paired with amplitude bookkeeping. Physical quantum computation requires physical qubits and coherent quantum dynamics.</w:t>
      </w:r>
    </w:p>
    <w:p>
      <w:r>
        <w:rPr>
          <w:b/>
        </w:rPr>
        <w:t>Objection: Why abstract away from magnitudes in the channel-capacity model?</w:t>
      </w:r>
    </w:p>
    <w:p>
      <w:r>
        <w:t>The abstraction isolates the information contribution of classification and articulation. With magnitudes included, the model would answer a different question about data plus structure rather than structure itself.</w:t>
      </w:r>
    </w:p>
    <w:p>
      <w:r>
        <w:rPr>
          <w:b/>
        </w:rPr>
        <w:t>Objection: Why does an unchanged second account matter?</w:t>
      </w:r>
    </w:p>
    <w:p>
      <w:r>
        <w:t>Because the receiver reads the manipulated account inside an articulated structure. The unchanged account preserves row relationships that prevent signals from collapsing under the model's equivalence rule.</w:t>
      </w:r>
    </w:p>
    <w:p>
      <w:r>
        <w:rPr>
          <w:b/>
        </w:rPr>
        <w:t>Objection: Are the organizational implications proved?</w:t>
      </w:r>
    </w:p>
    <w:p>
      <w:r>
        <w:t>No. The agency discussion is an analogy disciplined by the formal models and by cited performance-measurement theory. It identifies a research direction: measure at the level where payoff-relevant information is preserved.</w:t>
      </w:r>
    </w:p>
    <w:p>
      <w:pPr>
        <w:pStyle w:val="Heading2"/>
      </w:pPr>
      <w:r>
        <w:t>Recommended Submission Strategy</w:t>
      </w:r>
    </w:p>
    <w:p>
      <w:r>
        <w:t>Use the ambitious chapter as the candidate main text. Send the technical supplement to coauthors alongside it. Use this dossier for internal discussion and reviewer preparation, not as a submission artifact unless an editor asks for a response memo.</w:t>
      </w:r>
    </w:p>
    <w:p>
      <w:r>
        <w:t>If page limits are tight, cut from the main chapter in this order:</w:t>
      </w:r>
    </w:p>
    <w:p>
      <w:pPr>
        <w:pStyle w:val="ListNumber"/>
      </w:pPr>
      <w:r>
        <w:t>Reduce the worked channel-capacity example table but keep the prose explanation.</w:t>
      </w:r>
    </w:p>
    <w:p>
      <w:pPr>
        <w:pStyle w:val="ListNumber"/>
      </w:pPr>
      <w:r>
        <w:t>Move one or two formal callouts entirely into the supplement.</w:t>
      </w:r>
    </w:p>
    <w:p>
      <w:pPr>
        <w:pStyle w:val="ListNumber"/>
      </w:pPr>
      <w:r>
        <w:t>Shorten the performance-measurement analogy.</w:t>
      </w:r>
    </w:p>
    <w:p>
      <w:pPr>
        <w:pStyle w:val="ListNumber"/>
      </w:pPr>
      <w:r>
        <w:t>Preserve the thesis, amplitude caveat, channel-capacity conditions, and odd-cycle numerical comparison.</w:t>
      </w:r>
    </w:p>
    <w:p>
      <w:pPr>
        <w:pStyle w:val="Heading2"/>
      </w:pPr>
      <w:r>
        <w:t>Bottom Line</w:t>
      </w:r>
    </w:p>
    <w:p>
      <w:r>
        <w:t>The ambitious version is bolder because it is more disciplined. It does not make the quantum claim louder. It makes the accounting claim clearer: articulation is a code for relational information.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