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36"/>
        </w:rPr>
        <w:t>Discussion Notes Articulation As Code</w:t>
      </w:r>
    </w:p>
    <w:p>
      <w:pPr>
        <w:pStyle w:val="Heading1"/>
      </w:pPr>
      <w:r>
        <w:t>Discussion Notes: Articulation as Code, Conservation Laws, and the Role of Magnitudes</w:t>
      </w:r>
    </w:p>
    <w:p>
      <w:r>
        <w:rPr>
          <w:b/>
        </w:rPr>
        <w:t>Date:</w:t>
      </w:r>
      <w:r>
        <w:t xml:space="preserve"> April 9, 2026</w:t>
      </w:r>
    </w:p>
    <w:p>
      <w:r>
        <w:rPr>
          <w:b/>
        </w:rPr>
        <w:t>Participants:</w:t>
      </w:r>
      <w:r>
        <w:t xml:space="preserve"> Rick Antle, Claude</w:t>
      </w:r>
    </w:p>
    <w:p>
      <w:r>
        <w:rPr>
          <w:b/>
        </w:rPr>
        <w:t>Session:</w:t>
      </w:r>
      <w:r>
        <w:t xml:space="preserve"> 5</w:t>
      </w:r>
    </w:p>
    <w:p>
      <w:pPr>
        <w:pStyle w:val="Heading2"/>
      </w:pPr>
      <w:r>
        <w:t>Starting point</w:t>
      </w:r>
    </w:p>
    <w:p>
      <w:r>
        <w:t>We picked up from Session 4's open question (does the "$2 spent" intuition survive the Z operator?) but the conversation moved in a more fundamental direction: what is really driving the paper's results, stated in pure accounting terms?</w:t>
      </w:r>
    </w:p>
    <w:p>
      <w:pPr>
        <w:pStyle w:val="Heading2"/>
      </w:pPr>
      <w:r>
        <w:t>The income statement as detection mechanism</w:t>
      </w:r>
    </w:p>
    <w:p>
      <w:r>
        <w:t>Rick's key observation: the paper treats A and Â (asset and negative asset) as indistinguishable because they're both on the balance sheet (Definition 2(ii)). But in actual accounting, you cannot revalue an asset without hitting the income statement. The journal entry is Debit Loss, Credit Asset. The loss lands on the income statement — a different statement from the balance sheet — so it IS distinguishable by Definition 2(i). The income statement is the detection mechanism for revaluations, and the accounting identity is what guarantees this detection works.</w:t>
      </w:r>
    </w:p>
    <w:p>
      <w:pPr>
        <w:pStyle w:val="Heading2"/>
      </w:pPr>
      <w:r>
        <w:t>The conservation law framing</w:t>
      </w:r>
    </w:p>
    <w:p>
      <w:r>
        <w:t>Rick proposed stating the balance sheet identity explicitly with all its terms:</w:t>
      </w:r>
    </w:p>
    <w:p>
      <w:r>
        <w:rPr>
          <w:b/>
        </w:rPr>
        <w:t>Cash + Noncash Assets − Liabilities = Contributed Equity + Retained Income</w:t>
      </w:r>
    </w:p>
    <w:p>
      <w:r>
        <w:t>This is a conservation law. If you revalue a noncash asset (ΔA ≠ 0) and liabilities and contributed equity don't change, then Retained Income must change. A change in Retained Income is an income statement event. The conservation law forces revaluations to be detectable through the income statement.</w:t>
      </w:r>
    </w:p>
    <w:p>
      <w:r>
        <w:t>The right side's decomposition — Contributed vs. Retained Income — is crucial. This is what Session 1 called "the deepest structural feature": equity splits into what owners put in and what operations generated. The income statement exists to make this decomposition visible.</w:t>
      </w:r>
    </w:p>
    <w:p>
      <w:pPr>
        <w:pStyle w:val="Heading2"/>
      </w:pPr>
      <w:r>
        <w:t>Two identities or one?</w:t>
      </w:r>
    </w:p>
    <w:p>
      <w:r>
        <w:t>Rick identified two identities implicit in the balance sheet:</w:t>
      </w:r>
    </w:p>
    <w:p>
      <w:pPr>
        <w:pStyle w:val="ListBullet"/>
      </w:pPr>
      <w:r>
        <w:rPr>
          <w:b/>
        </w:rPr>
        <w:t>Identity 1:</w:t>
      </w:r>
      <w:r>
        <w:t xml:space="preserve"> Assets − Liabilities = Equities</w:t>
      </w:r>
    </w:p>
    <w:p>
      <w:pPr>
        <w:pStyle w:val="ListBullet"/>
      </w:pPr>
      <w:r>
        <w:rPr>
          <w:b/>
        </w:rPr>
        <w:t>Identity 2:</w:t>
      </w:r>
      <w:r>
        <w:t xml:space="preserve"> Equities = Contributed + Retained Income</w:t>
      </w:r>
    </w:p>
    <w:p>
      <w:r>
        <w:t>He asked: is the cash flow reconciliation identity doing the same work as Identity 2?</w:t>
      </w:r>
    </w:p>
    <w:p>
      <w:r>
        <w:rPr>
          <w:b/>
        </w:rPr>
        <w:t>Analysis:</w:t>
      </w:r>
      <w:r>
        <w:t xml:space="preserve"> Algebraically, yes. The cash flow reconciliation (ΔCash = Income − Adjustments) is derivable from the combined balance sheet identity. It's not an independent conservation law. The two identities combine into one equation:</w:t>
      </w:r>
    </w:p>
    <w:p>
      <w:r>
        <w:t>ΔCash + ΔNoncash Assets = ΔRetained Income = Income</w:t>
      </w:r>
    </w:p>
    <w:p>
      <w:r>
        <w:t>One equation, three Δ terms, two degrees of freedom.</w:t>
      </w:r>
    </w:p>
    <w:p>
      <w:pPr>
        <w:pStyle w:val="Heading2"/>
      </w:pPr>
      <w:r>
        <w:t>The magnitudes problem</w:t>
      </w:r>
    </w:p>
    <w:p>
      <w:r>
        <w:t>With magnitudes, knowing any two of the three Δ terms determines the third via the conservation law. The cash flow statement is algebraically redundant — derivable from the balance sheet + income statement. This means the paper's requirement for two articulating statements only binds when magnitudes are removed. With magnitudes, one articulating statement (the income statement) plus the balance sheet suffices.</w:t>
      </w:r>
    </w:p>
    <w:p>
      <w:r>
        <w:t>Rick's challenge: "If in the presence of magnitudes the additional information carrying capacity we seek to find goes away... what does the paper contribute?"</w:t>
      </w:r>
    </w:p>
    <w:p>
      <w:pPr>
        <w:pStyle w:val="Heading2"/>
      </w:pPr>
      <w:r>
        <w:t>Removing magnitudes as measurement technique</w:t>
      </w:r>
    </w:p>
    <w:p>
      <w:r>
        <w:t>Initial framing: removing magnitudes isolates the classification structure. The paper measures the capacity of the classification channel — how much information the system's structural judgments (asset vs expense, operating vs investing) can carry independent of dollar amounts. Two bits per account. With magnitudes present, one of the two bits becomes derivable, but the classification decisions are still being made and still informative.</w:t>
      </w:r>
    </w:p>
    <w:p>
      <w:r>
        <w:t>This framing was judged "too concessive" — it makes the paper sound like it's studying a world with the most important part removed.</w:t>
      </w:r>
    </w:p>
    <w:p>
      <w:pPr>
        <w:pStyle w:val="Heading2"/>
      </w:pPr>
      <w:r>
        <w:t>The breakthrough: articulation as code</w:t>
      </w:r>
    </w:p>
    <w:p>
      <w:r>
        <w:t>Rick's AR example provided the stronger framing:</w:t>
      </w:r>
    </w:p>
    <w:p>
      <w:pPr>
        <w:spacing w:before="80" w:after="160"/>
        <w:ind w:left="360" w:right="360"/>
      </w:pPr>
      <w:r>
        <w:rPr>
          <w:i/>
          <w:color w:val="1F3A5F"/>
        </w:rPr>
        <w:t xml:space="preserve">Suppose you know Sales and the change in accounts receivable. All sales are on account. These three financial statement numbers imply a fourth — the amount of cash collected from customers. But this is only because we enforce an identity for accounts receivable. I can deduce something that was implied by the two financial statements, </w:t>
      </w:r>
      <w:r>
        <w:rPr>
          <w:b/>
          <w:i/>
          <w:color w:val="1F3A5F"/>
        </w:rPr>
        <w:t>if I understand how the two statements fit together</w:t>
      </w:r>
      <w:r>
        <w:rPr>
          <w:i/>
          <w:color w:val="1F3A5F"/>
        </w:rPr>
        <w:t>.</w:t>
      </w:r>
    </w:p>
    <w:p>
      <w:r>
        <w:t>The identity: Beginning AR + Sales − Collections = Ending AR. Therefore: Collections = Sales − ΔAR.</w:t>
      </w:r>
    </w:p>
    <w:p>
      <w:r>
        <w:rPr>
          <w:b/>
        </w:rPr>
        <w:t>Key insight:</w:t>
      </w:r>
      <w:r>
        <w:t xml:space="preserve"> The information isn't on either statement alone. It's in the *relationship* between them. The articulation is the code. A receiver who understands the code extracts information that no single statement contains. And this works WITH magnitudes — you need both the numbers AND the structural relationship. Without the structure, Sales of $500 and ΔAR of $100 are just two unrelated numbers. With it, they imply $400 in collections.</w:t>
      </w:r>
    </w:p>
    <w:p>
      <w:r>
        <w:rPr>
          <w:b/>
        </w:rPr>
        <w:t>Reframing of the paper:</w:t>
      </w:r>
      <w:r>
        <w:t xml:space="preserve"> The paper measures the information content of articulation itself — the structural relationships between financial statements. Removing magnitudes is the measurement technique (like a physicist turning off gravity in a thought experiment to measure something else), not the point. The structural information is present and doing real work even when magnitudes are observed.</w:t>
      </w:r>
    </w:p>
    <w:p>
      <w:pPr>
        <w:pStyle w:val="Heading2"/>
      </w:pPr>
      <w:r>
        <w:t>Status of earlier threads</w:t>
      </w:r>
    </w:p>
    <w:p>
      <w:pPr>
        <w:pStyle w:val="ListBullet"/>
      </w:pPr>
      <w:r>
        <w:rPr>
          <w:b/>
        </w:rPr>
        <w:t>The "$2 spent" intuition:</w:t>
      </w:r>
      <w:r>
        <w:t xml:space="preserve"> Works beautifully for recognition (two independent A/E decisions). Breaks down for post-recognition operations because Z produces Â, which isn't in the {A, E} binary. But Rick's conservation law argument may rescue it: Â is always accompanied by an income statement effect, so the receiver detects the revaluation through the income statement, not through observing Â directly.</w:t>
      </w:r>
    </w:p>
    <w:p>
      <w:pPr>
        <w:pStyle w:val="ListBullet"/>
      </w:pPr>
      <w:r>
        <w:rPr>
          <w:b/>
        </w:rPr>
        <w:t>The two-bit table from Session 3:</w:t>
      </w:r>
      <w:r>
        <w:t xml:space="preserve"> (Did cash change? × Did equity change?) Still valid as an economic description. Now grounded in the conservation law: two degrees of freedom in the identity ΔCash + ΔNoncash Assets = Income.</w:t>
      </w:r>
    </w:p>
    <w:p>
      <w:pPr>
        <w:pStyle w:val="ListBullet"/>
      </w:pPr>
      <w:r>
        <w:rPr>
          <w:b/>
        </w:rPr>
        <w:t>X vs XZ distinction:</w:t>
      </w:r>
      <w:r>
        <w:t xml:space="preserve"> Not fully resolved. The income statement distinguishes I from Z (revaluation detected via loss) and from X (reclassification moves account to IS). But X and XZ may remain indistinguishable without the cash flow statement or magnitudes. This needs further work.</w:t>
      </w:r>
    </w:p>
    <w:p>
      <w:pPr>
        <w:pStyle w:val="Heading2"/>
      </w:pPr>
      <w:r>
        <w:t>Open questions</w:t>
      </w:r>
    </w:p>
    <w:p>
      <w:pPr>
        <w:pStyle w:val="ListNumber"/>
      </w:pPr>
      <w:r>
        <w:t>Can the paper be framed entirely around "articulation as code" — the information content of the structural relationships between statements — without needing the magnitude-free assumption as central?</w:t>
      </w:r>
    </w:p>
    <w:p>
      <w:pPr>
        <w:pStyle w:val="ListNumber"/>
      </w:pPr>
      <w:r>
        <w:t>The AR example works with magnitudes. Does the paper's two-bit result also have a natural magnitudes-included interpretation?</w:t>
      </w:r>
    </w:p>
    <w:p>
      <w:pPr>
        <w:pStyle w:val="ListNumber"/>
      </w:pPr>
      <w:r>
        <w:t>How does the "articulation as code" framing connect to the paper's formal apparatus (vectors, matrices, tensor products)?</w:t>
      </w:r>
    </w:p>
    <w:p>
      <w:pPr>
        <w:pStyle w:val="ListNumber"/>
      </w:pPr>
      <w:r>
        <w:t>Is there a way to state the paper's main result as: "the articulation between two financial statements creates an information channel whose capacity is [X], and here is how double entry achieves that capacity"?</w:t>
      </w:r>
    </w:p>
    <w:p>
      <w:pPr>
        <w:pStyle w:val="Heading2"/>
      </w:pPr>
      <w:r>
        <w:t>How to resume</w:t>
      </w:r>
    </w:p>
    <w:p>
      <w:pPr>
        <w:pStyle w:val="ListNumber"/>
      </w:pPr>
      <w:r>
        <w:t>Read CONTINUATION.md for full context across all sessions</w:t>
      </w:r>
    </w:p>
    <w:p>
      <w:pPr>
        <w:pStyle w:val="ListNumber"/>
      </w:pPr>
      <w:r>
        <w:t>Read this file for Session 5 specifics</w:t>
      </w:r>
    </w:p>
    <w:p>
      <w:pPr>
        <w:pStyle w:val="ListNumber"/>
      </w:pPr>
      <w:r>
        <w:t>The most promising direction: the "articulation as code" framing (Rick's AR example)</w:t>
      </w:r>
    </w:p>
    <w:p>
      <w:pPr>
        <w:pStyle w:val="ListNumber"/>
      </w:pPr>
      <w:r>
        <w:t>The key unresolved tension: the paper's formal result requires removing magnitudes, but the strongest economic intuition (the AR example) works with magnitudes</w:t>
      </w:r>
    </w:p>
    <w:p>
      <w:pPr>
        <w:pStyle w:val="ListNumber"/>
      </w:pPr>
      <w:r>
        <w:t>Rick's thoughts are also in his Open Brain — search for "articulation as code" or "conservation law" or "magnitudes"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