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36"/>
        </w:rPr>
        <w:t>Revision Memo</w:t>
      </w:r>
    </w:p>
    <w:p>
      <w:pPr>
        <w:pStyle w:val="Heading1"/>
      </w:pPr>
      <w:r>
        <w:t>Revision Memo for Chapter.docx</w:t>
      </w:r>
    </w:p>
    <w:p>
      <w:r>
        <w:t>Working file: /Users/ra1/QuantumAccounting/BookChapter/sources/Chapter.original.docx</w:t>
      </w:r>
    </w:p>
    <w:p>
      <w:pPr>
        <w:pStyle w:val="Heading2"/>
      </w:pPr>
      <w:r>
        <w:t>Executive Judgment</w:t>
      </w:r>
    </w:p>
    <w:p>
      <w:r>
        <w:t>The chapter has a strong core. Its best version is not "accounting is quantum" and not "double-entry performs quantum computation." The best version is sharper and more defensible:</w:t>
      </w:r>
    </w:p>
    <w:p>
      <w:pPr>
        <w:spacing w:before="80" w:after="160"/>
        <w:ind w:left="360" w:right="360"/>
      </w:pPr>
      <w:r>
        <w:rPr>
          <w:i/>
          <w:color w:val="1F3A5F"/>
        </w:rPr>
        <w:t>Double-entry accounting is a relational information architecture. Its distinctive power comes from preserving structured relationships among accounts and statements. Quantum information theory supplies a useful mathematical language for seeing why relational structure matters: vector representations, reversible transformations, superposition-like multi-statement representations, and entanglement-like nonseparability all illuminate information-processing features that scalar/single-entry representations cannot capture in the same models.</w:t>
      </w:r>
    </w:p>
    <w:p>
      <w:r>
        <w:t>That thesis is interesting to nonexperts because it explains something familiar and durable, double-entry bookkeeping, through a modern information lens without requiring the reader to believe that financial statements are literally quantum systems.</w:t>
      </w:r>
    </w:p>
    <w:p>
      <w:pPr>
        <w:pStyle w:val="Heading2"/>
      </w:pPr>
      <w:r>
        <w:t>Main Strengths</w:t>
      </w:r>
    </w:p>
    <w:p>
      <w:pPr>
        <w:pStyle w:val="ListBullet"/>
      </w:pPr>
      <w:r>
        <w:t>The chapter has a natural narrative arc: information science -&gt; quantum representation -&gt; entanglement -&gt; organizational consequences.</w:t>
      </w:r>
    </w:p>
    <w:p>
      <w:pPr>
        <w:pStyle w:val="ListBullet"/>
      </w:pPr>
      <w:r>
        <w:t>The quantum-programming material gives a concrete representational vocabulary: T-accounts as basis states and journal entries as transformations.</w:t>
      </w:r>
    </w:p>
    <w:p>
      <w:pPr>
        <w:pStyle w:val="ListBullet"/>
      </w:pPr>
      <w:r>
        <w:t>The odd-cycle result is genuinely compelling for nonexperts because it gives a simple coordination setting with a clear numerical contrast: 5/6 classically versus 1/2 + sqrt(3)/4, about 0.933, with entanglement.</w:t>
      </w:r>
    </w:p>
    <w:p>
      <w:pPr>
        <w:pStyle w:val="ListBullet"/>
      </w:pPr>
      <w:r>
        <w:t>The information-property paper supplies the accounting heart of the chapter: information is carried by articulation across statements, not by isolated accounts alone.</w:t>
      </w:r>
    </w:p>
    <w:p>
      <w:pPr>
        <w:pStyle w:val="ListBullet"/>
      </w:pPr>
      <w:r>
        <w:t>The performance-measurement section has promise because it connects the formal ideas to familiar organizational design questions.</w:t>
      </w:r>
    </w:p>
    <w:p>
      <w:pPr>
        <w:pStyle w:val="Heading2"/>
      </w:pPr>
      <w:r>
        <w:t>Main Risks</w:t>
      </w:r>
    </w:p>
    <w:p>
      <w:pPr>
        <w:pStyle w:val="ListNumber"/>
      </w:pPr>
      <w:r>
        <w:rPr>
          <w:b/>
        </w:rPr>
        <w:t>Literalizing the quantum analogy.</w:t>
      </w:r>
      <w:r>
        <w:t xml:space="preserve"> The chapter often says double-entry "supports superposition" or "preserves entanglement" as if these were physical properties. The rewrite should use "represents," "models," "has a structural analogue," or "makes visible."</w:t>
      </w:r>
    </w:p>
    <w:p>
      <w:pPr>
        <w:pStyle w:val="ListNumber"/>
      </w:pPr>
      <w:r>
        <w:rPr>
          <w:b/>
        </w:rPr>
        <w:t>Overstating universality.</w:t>
      </w:r>
      <w:r>
        <w:t xml:space="preserve"> It is correct that Toffoli plus Hadamard is a universal quantum gate set, and it appears correct that the accounting framework can encode those gates. It is too strong to say the double-entry system is itself universal for quantum computation. The safe claim is representational capacity.</w:t>
      </w:r>
    </w:p>
    <w:p>
      <w:pPr>
        <w:pStyle w:val="ListNumber"/>
      </w:pPr>
      <w:r>
        <w:rPr>
          <w:b/>
        </w:rPr>
        <w:t>Underexplaining amplitude bookkeeping.</w:t>
      </w:r>
      <w:r>
        <w:t xml:space="preserve"> The accounting notation tracks basis labels and transformations. Quantum probabilities require amplitudes, phases, normalization, and measurement rules, which the source papers record separately. The chapter should say this plainly.</w:t>
      </w:r>
    </w:p>
    <w:p>
      <w:pPr>
        <w:pStyle w:val="ListNumber"/>
      </w:pPr>
      <w:r>
        <w:rPr>
          <w:b/>
        </w:rPr>
        <w:t>Blurring product states and entangled states.</w:t>
      </w:r>
      <w:r>
        <w:t xml:space="preserve"> Composite systems require tensor-product state spaces. Product basis states can be written by concatenating accounts, but general multi-qubit states need not factor. This correction is essential because entanglement is the chapter's centerpiece.</w:t>
      </w:r>
    </w:p>
    <w:p>
      <w:pPr>
        <w:pStyle w:val="ListNumber"/>
      </w:pPr>
      <w:r>
        <w:rPr>
          <w:b/>
        </w:rPr>
        <w:t>Making "entanglement" carry too much.</w:t>
      </w:r>
      <w:r>
        <w:t xml:space="preserve"> The channel-capacity paper's deepest accounting mechanism is articulation across statements. Entanglement is a powerful analogy and, in the Bell-state model, a formal representation. But the accounting conclusion should be stated in accounting language: relational structure, articulation, and linked measurement.</w:t>
      </w:r>
    </w:p>
    <w:p>
      <w:pPr>
        <w:pStyle w:val="ListNumber"/>
      </w:pPr>
      <w:r>
        <w:rPr>
          <w:b/>
        </w:rPr>
        <w:t>Citation-dependent sections.</w:t>
      </w:r>
      <w:r>
        <w:t xml:space="preserve"> The Section 1 framing depends on Fellingham et al. 2022, which was not included in the packet. The agency/performance section depends on Demski et al. 2008, which was also not included. These can remain, but they should not be written as newly proved results unless the original sources are checked.</w:t>
      </w:r>
    </w:p>
    <w:p>
      <w:pPr>
        <w:pStyle w:val="Heading2"/>
      </w:pPr>
      <w:r>
        <w:t>Proposed Revised Thesis</w:t>
      </w:r>
    </w:p>
    <w:p>
      <w:r>
        <w:t>The chapter should argue:</w:t>
      </w:r>
    </w:p>
    <w:p>
      <w:pPr>
        <w:spacing w:before="80" w:after="160"/>
        <w:ind w:left="360" w:right="360"/>
      </w:pPr>
      <w:r>
        <w:rPr>
          <w:i/>
          <w:color w:val="1F3A5F"/>
        </w:rPr>
        <w:t>The double-entry system remains important in a quantum era not because accounting records are quantum objects, but because double-entry is already a mature architecture for representing relationships among states. The same structural features that make quantum information powerful, especially vector representation, reversible transformation, and nonseparable relationships, help explain why double-entry can transmit, preserve, and coordinate information better than isolated single-entry records in stylized organizational settings.</w:t>
      </w:r>
    </w:p>
    <w:p>
      <w:r>
        <w:t>This thesis is accurate, interesting, and much less vulnerable than the current stronger language.</w:t>
      </w:r>
    </w:p>
    <w:p>
      <w:pPr>
        <w:pStyle w:val="Heading2"/>
      </w:pPr>
      <w:r>
        <w:t>Proposed Structure</w:t>
      </w:r>
    </w:p>
    <w:p>
      <w:pPr>
        <w:pStyle w:val="Heading3"/>
      </w:pPr>
      <w:r>
        <w:t>Opening</w:t>
      </w:r>
    </w:p>
    <w:p>
      <w:r>
        <w:t>Open with the nonexpert question: why has double-entry survived centuries of technological change? Then introduce the modern answer:</w:t>
      </w:r>
    </w:p>
    <w:p>
      <w:pPr>
        <w:pStyle w:val="ListBullet"/>
      </w:pPr>
      <w:r>
        <w:t>individual balances are data</w:t>
      </w:r>
    </w:p>
    <w:p>
      <w:pPr>
        <w:pStyle w:val="ListBullet"/>
      </w:pPr>
      <w:r>
        <w:t>articulation is code</w:t>
      </w:r>
    </w:p>
    <w:p>
      <w:pPr>
        <w:pStyle w:val="ListBullet"/>
      </w:pPr>
      <w:r>
        <w:t>the relationships among accounts and statements carry information</w:t>
      </w:r>
    </w:p>
    <w:p>
      <w:pPr>
        <w:pStyle w:val="ListBullet"/>
      </w:pPr>
      <w:r>
        <w:t>quantum information theory gives a way to see the value of relational structure</w:t>
      </w:r>
    </w:p>
    <w:p>
      <w:r>
        <w:t>Avoid opening with "quantum era" hype. Use quantum computing as the occasion for the question, not as the whole motivation.</w:t>
      </w:r>
    </w:p>
    <w:p>
      <w:pPr>
        <w:pStyle w:val="Heading3"/>
      </w:pPr>
      <w:r>
        <w:t>Section 1: Accounting as Information Architecture</w:t>
      </w:r>
    </w:p>
    <w:p>
      <w:r>
        <w:t>Keep the information-science framing, but simplify the Kelly material.</w:t>
      </w:r>
    </w:p>
    <w:p>
      <w:r>
        <w:t>Recommended approach:</w:t>
      </w:r>
    </w:p>
    <w:p>
      <w:pPr>
        <w:pStyle w:val="ListBullet"/>
      </w:pPr>
      <w:r>
        <w:t>Explain the decision/accounting/information equivalence in words first.</w:t>
      </w:r>
    </w:p>
    <w:p>
      <w:pPr>
        <w:pStyle w:val="ListBullet"/>
      </w:pPr>
      <w:r>
        <w:t>Move formulas into a compact displayed sequence or footnote.</w:t>
      </w:r>
    </w:p>
    <w:p>
      <w:pPr>
        <w:pStyle w:val="ListBullet"/>
      </w:pPr>
      <w:r>
        <w:t>State explicitly that this is a result from Fellingham et al. 2022.</w:t>
      </w:r>
    </w:p>
    <w:p>
      <w:pPr>
        <w:pStyle w:val="ListBullet"/>
      </w:pPr>
      <w:r>
        <w:t>Add an "articulation as code" example, such as accounts receivable:</w:t>
      </w:r>
    </w:p>
    <w:p>
      <w:r>
        <w:t xml:space="preserve">  Beginning AR + Sales - Collections = Ending AR.</w:t>
      </w:r>
    </w:p>
    <w:p>
      <w:r>
        <w:t xml:space="preserve">  A reader who understands the relationship can infer collections from Sales and the change in AR. The information is not on either statement alone; it is in the relationship.</w:t>
      </w:r>
    </w:p>
    <w:p>
      <w:r>
        <w:t>This example should become the conceptual hinge of the chapter.</w:t>
      </w:r>
    </w:p>
    <w:p>
      <w:pPr>
        <w:pStyle w:val="Heading3"/>
      </w:pPr>
      <w:r>
        <w:t>Section 2: Representing Quantum Operations</w:t>
      </w:r>
    </w:p>
    <w:p>
      <w:r>
        <w:t>Make this section a careful introduction, not a proof dump.</w:t>
      </w:r>
    </w:p>
    <w:p>
      <w:r>
        <w:t>Recommended elements:</w:t>
      </w:r>
    </w:p>
    <w:p>
      <w:pPr>
        <w:pStyle w:val="ListBullet"/>
      </w:pPr>
      <w:r>
        <w:t>Add a roadmap table:</w:t>
      </w:r>
    </w:p>
    <w:p>
      <w:r>
        <w:t xml:space="preserve">  qubit basis state -&gt; T-account type</w:t>
      </w:r>
    </w:p>
    <w:p>
      <w:r>
        <w:t xml:space="preserve">  X gate -&gt; reclassification entry</w:t>
      </w:r>
    </w:p>
    <w:p>
      <w:r>
        <w:t xml:space="preserve">  Z/S/T phase gate -&gt; revaluation entry</w:t>
      </w:r>
    </w:p>
    <w:p>
      <w:r>
        <w:t xml:space="preserve">  Hadamard -&gt; superposition-forming operation represented by stacked rows</w:t>
      </w:r>
    </w:p>
    <w:p>
      <w:r>
        <w:t xml:space="preserve">  tensor-product basis -&gt; concatenated accounts</w:t>
      </w:r>
    </w:p>
    <w:p>
      <w:r>
        <w:t xml:space="preserve">  measurement -&gt; probability from separately recorded amplitudes</w:t>
      </w:r>
    </w:p>
    <w:p>
      <w:pPr>
        <w:pStyle w:val="ListBullet"/>
      </w:pPr>
      <w:r>
        <w:t>Correct the composite-system language:</w:t>
      </w:r>
    </w:p>
    <w:p>
      <w:r>
        <w:t xml:space="preserve">  "The state space of a composite system is the tensor product of the component state spaces. Concatenated account strings represent computational-basis product states; entangled states are represented as superpositions of such strings."</w:t>
      </w:r>
    </w:p>
    <w:p>
      <w:pPr>
        <w:pStyle w:val="ListBullet"/>
      </w:pPr>
      <w:r>
        <w:t>State the universality result carefully:</w:t>
      </w:r>
    </w:p>
    <w:p>
      <w:r>
        <w:t xml:space="preserve">  "Because the framework can encode Hadamard and Toffoli, it can represent a universal quantum gate set."</w:t>
      </w:r>
    </w:p>
    <w:p>
      <w:pPr>
        <w:pStyle w:val="ListBullet"/>
      </w:pPr>
      <w:r>
        <w:t>Avoid saying:</w:t>
      </w:r>
    </w:p>
    <w:p>
      <w:r>
        <w:t xml:space="preserve">  "double-entry is universal for quantum computation."</w:t>
      </w:r>
    </w:p>
    <w:p>
      <w:pPr>
        <w:pStyle w:val="Heading3"/>
      </w:pPr>
      <w:r>
        <w:t>Section 3: Entanglement, Articulation, and Organizational Information</w:t>
      </w:r>
    </w:p>
    <w:p>
      <w:r>
        <w:t>This should become the chapter's payoff section, but it should be anchored in accounting language before quantum terminology.</w:t>
      </w:r>
    </w:p>
    <w:p>
      <w:r>
        <w:t>Recommended order:</w:t>
      </w:r>
    </w:p>
    <w:p>
      <w:pPr>
        <w:pStyle w:val="ListNumber"/>
      </w:pPr>
      <w:r>
        <w:t>Bell states as the formal model of nonseparable relationships.</w:t>
      </w:r>
    </w:p>
    <w:p>
      <w:pPr>
        <w:pStyle w:val="ListNumber"/>
      </w:pPr>
      <w:r>
        <w:t>Channel capacity as the clean accounting result: linked statement/account structures distinguish more messages than isolated accounts.</w:t>
      </w:r>
    </w:p>
    <w:p>
      <w:pPr>
        <w:pStyle w:val="ListNumber"/>
      </w:pPr>
      <w:r>
        <w:t>Odd-cycle game as the vivid coordination result: entanglement raises the winning probability from 5/6 to 1/2 + sqrt(3)/4.</w:t>
      </w:r>
    </w:p>
    <w:p>
      <w:pPr>
        <w:pStyle w:val="ListNumber"/>
      </w:pPr>
      <w:r>
        <w:t>Performance measurement as an organizational analogy: when production is joint, measurement that preserves the joint relation can dominate measurement that separates individuals.</w:t>
      </w:r>
    </w:p>
    <w:p>
      <w:r>
        <w:t>Important wording:</w:t>
      </w:r>
    </w:p>
    <w:p>
      <w:pPr>
        <w:pStyle w:val="ListBullet"/>
      </w:pPr>
      <w:r>
        <w:t>Say "in this model" often.</w:t>
      </w:r>
    </w:p>
    <w:p>
      <w:pPr>
        <w:pStyle w:val="ListBullet"/>
      </w:pPr>
      <w:r>
        <w:t>Say "relational structure" more often than "entanglement."</w:t>
      </w:r>
    </w:p>
    <w:p>
      <w:pPr>
        <w:pStyle w:val="ListBullet"/>
      </w:pPr>
      <w:r>
        <w:t>Use "Bell-state representation" when the formal quantum object matters.</w:t>
      </w:r>
    </w:p>
    <w:p>
      <w:pPr>
        <w:pStyle w:val="ListBullet"/>
      </w:pPr>
      <w:r>
        <w:t>Use "articulation" when the accounting mechanism matters.</w:t>
      </w:r>
    </w:p>
    <w:p>
      <w:pPr>
        <w:pStyle w:val="Heading3"/>
      </w:pPr>
      <w:r>
        <w:t>Conclusion</w:t>
      </w:r>
    </w:p>
    <w:p>
      <w:r>
        <w:t>The conclusion should not claim that the double-entry system literally processes quantum information or that it fully explains five centuries of accounting history.</w:t>
      </w:r>
    </w:p>
    <w:p>
      <w:r>
        <w:t>Recommended close:</w:t>
      </w:r>
    </w:p>
    <w:p>
      <w:pPr>
        <w:pStyle w:val="ListBullet"/>
      </w:pPr>
      <w:r>
        <w:t>The chapter offers an information-theoretic explanation for part of double-entry's durability.</w:t>
      </w:r>
    </w:p>
    <w:p>
      <w:pPr>
        <w:pStyle w:val="ListBullet"/>
      </w:pPr>
      <w:r>
        <w:t>Double-entry is valuable because it preserves relationships.</w:t>
      </w:r>
    </w:p>
    <w:p>
      <w:pPr>
        <w:pStyle w:val="ListBullet"/>
      </w:pPr>
      <w:r>
        <w:t>Quantum information theory gives a new vocabulary for this old architecture.</w:t>
      </w:r>
    </w:p>
    <w:p>
      <w:pPr>
        <w:pStyle w:val="ListBullet"/>
      </w:pPr>
      <w:r>
        <w:t>For nonexperts, accounting becomes a bridge into quantum ideas; for accounting researchers, quantum theory becomes a lens on articulation, measurement, and organizational design.</w:t>
      </w:r>
    </w:p>
    <w:p>
      <w:pPr>
        <w:pStyle w:val="Heading2"/>
      </w:pPr>
      <w:r>
        <w:t>Overstatement Map</w:t>
      </w:r>
    </w:p>
    <w:tbl>
      <w:tblPr>
        <w:tblStyle w:val="TableGrid"/>
        <w:tblW w:type="dxa" w:w="9360"/>
        <w:tblLook w:firstColumn="1" w:firstRow="1" w:lastColumn="0" w:lastRow="0" w:noHBand="0" w:noVBand="1" w:val="04A0"/>
        <w:tblLayout w:type="fixed"/>
      </w:tblPr>
      <w:tblGrid>
        <w:gridCol w:w="4680"/>
        <w:gridCol w:w="4680"/>
      </w:tblGrid>
      <w:tr>
        <w:tc>
          <w:tcPr>
            <w:tcW w:type="dxa" w:w="4680"/>
            <w:vAlign w:val="center"/>
            <w:tcMar>
              <w:top w:w="80" w:type="dxa"/>
              <w:start w:w="120" w:type="dxa"/>
              <w:bottom w:w="80" w:type="dxa"/>
              <w:end w:w="120" w:type="dxa"/>
            </w:tcMar>
            <w:shd w:fill="F4F6F9"/>
          </w:tcPr>
          <w:p>
            <w:pPr>
              <w:spacing w:after="0"/>
              <w:jc w:val="left"/>
            </w:pPr>
            <w:r/>
            <w:r>
              <w:rPr>
                <w:rFonts w:ascii="Calibri" w:hAnsi="Calibri"/>
                <w:b/>
                <w:sz w:val="18"/>
              </w:rPr>
              <w:t>Current Wording Pattern</w:t>
            </w:r>
          </w:p>
        </w:tc>
        <w:tc>
          <w:tcPr>
            <w:tcW w:type="dxa" w:w="4680"/>
            <w:vAlign w:val="center"/>
            <w:tcMar>
              <w:top w:w="80" w:type="dxa"/>
              <w:start w:w="120" w:type="dxa"/>
              <w:bottom w:w="80" w:type="dxa"/>
              <w:end w:w="120" w:type="dxa"/>
            </w:tcMar>
            <w:shd w:fill="F4F6F9"/>
          </w:tcPr>
          <w:p>
            <w:pPr>
              <w:spacing w:after="0"/>
              <w:jc w:val="left"/>
            </w:pPr>
            <w:r/>
            <w:r>
              <w:rPr>
                <w:rFonts w:ascii="Calibri" w:hAnsi="Calibri"/>
                <w:b/>
                <w:sz w:val="18"/>
              </w:rPr>
              <w:t>Safer Rewrite</w:t>
            </w:r>
          </w:p>
        </w:tc>
      </w:tr>
      <w:tr>
        <w:tc>
          <w:tcPr>
            <w:tcW w:type="dxa" w:w="4680"/>
            <w:vAlign w:val="center"/>
            <w:tcMar>
              <w:top w:w="80" w:type="dxa"/>
              <w:start w:w="120" w:type="dxa"/>
              <w:bottom w:w="80" w:type="dxa"/>
              <w:end w:w="120" w:type="dxa"/>
            </w:tcMar>
          </w:tcPr>
          <w:p>
            <w:pPr>
              <w:spacing w:after="0"/>
              <w:jc w:val="left"/>
            </w:pPr>
            <w:r/>
            <w:r>
              <w:rPr>
                <w:rFonts w:ascii="Calibri" w:hAnsi="Calibri"/>
                <w:sz w:val="18"/>
              </w:rPr>
              <w:t>double-entry performs quantum computation</w:t>
            </w:r>
          </w:p>
        </w:tc>
        <w:tc>
          <w:tcPr>
            <w:tcW w:type="dxa" w:w="4680"/>
            <w:vAlign w:val="center"/>
            <w:tcMar>
              <w:top w:w="80" w:type="dxa"/>
              <w:start w:w="120" w:type="dxa"/>
              <w:bottom w:w="80" w:type="dxa"/>
              <w:end w:w="120" w:type="dxa"/>
            </w:tcMar>
          </w:tcPr>
          <w:p>
            <w:pPr>
              <w:spacing w:after="0"/>
              <w:jc w:val="left"/>
            </w:pPr>
            <w:r/>
            <w:r>
              <w:rPr>
                <w:rFonts w:ascii="Calibri" w:hAnsi="Calibri"/>
                <w:sz w:val="18"/>
              </w:rPr>
              <w:t>double-entry provides a representation of quantum-information operations</w:t>
            </w:r>
          </w:p>
        </w:tc>
      </w:tr>
      <w:tr>
        <w:tc>
          <w:tcPr>
            <w:tcW w:type="dxa" w:w="4680"/>
            <w:vAlign w:val="center"/>
            <w:tcMar>
              <w:top w:w="80" w:type="dxa"/>
              <w:start w:w="120" w:type="dxa"/>
              <w:bottom w:w="80" w:type="dxa"/>
              <w:end w:w="120" w:type="dxa"/>
            </w:tcMar>
          </w:tcPr>
          <w:p>
            <w:pPr>
              <w:spacing w:after="0"/>
              <w:jc w:val="left"/>
            </w:pPr>
            <w:r/>
            <w:r>
              <w:rPr>
                <w:rFonts w:ascii="Calibri" w:hAnsi="Calibri"/>
                <w:sz w:val="18"/>
              </w:rPr>
              <w:t>double-entry is universal for quantum computation</w:t>
            </w:r>
          </w:p>
        </w:tc>
        <w:tc>
          <w:tcPr>
            <w:tcW w:type="dxa" w:w="4680"/>
            <w:vAlign w:val="center"/>
            <w:tcMar>
              <w:top w:w="80" w:type="dxa"/>
              <w:start w:w="120" w:type="dxa"/>
              <w:bottom w:w="80" w:type="dxa"/>
              <w:end w:w="120" w:type="dxa"/>
            </w:tcMar>
          </w:tcPr>
          <w:p>
            <w:pPr>
              <w:spacing w:after="0"/>
              <w:jc w:val="left"/>
            </w:pPr>
            <w:r/>
            <w:r>
              <w:rPr>
                <w:rFonts w:ascii="Calibri" w:hAnsi="Calibri"/>
                <w:sz w:val="18"/>
              </w:rPr>
              <w:t>the framework can represent a universal quantum gate set</w:t>
            </w:r>
          </w:p>
        </w:tc>
      </w:tr>
      <w:tr>
        <w:tc>
          <w:tcPr>
            <w:tcW w:type="dxa" w:w="4680"/>
            <w:vAlign w:val="center"/>
            <w:tcMar>
              <w:top w:w="80" w:type="dxa"/>
              <w:start w:w="120" w:type="dxa"/>
              <w:bottom w:w="80" w:type="dxa"/>
              <w:end w:w="120" w:type="dxa"/>
            </w:tcMar>
          </w:tcPr>
          <w:p>
            <w:pPr>
              <w:spacing w:after="0"/>
              <w:jc w:val="left"/>
            </w:pPr>
            <w:r/>
            <w:r>
              <w:rPr>
                <w:rFonts w:ascii="Calibri" w:hAnsi="Calibri"/>
                <w:sz w:val="18"/>
              </w:rPr>
              <w:t>accounts are entangled</w:t>
            </w:r>
          </w:p>
        </w:tc>
        <w:tc>
          <w:tcPr>
            <w:tcW w:type="dxa" w:w="4680"/>
            <w:vAlign w:val="center"/>
            <w:tcMar>
              <w:top w:w="80" w:type="dxa"/>
              <w:start w:w="120" w:type="dxa"/>
              <w:bottom w:w="80" w:type="dxa"/>
              <w:end w:w="120" w:type="dxa"/>
            </w:tcMar>
          </w:tcPr>
          <w:p>
            <w:pPr>
              <w:spacing w:after="0"/>
              <w:jc w:val="left"/>
            </w:pPr>
            <w:r/>
            <w:r>
              <w:rPr>
                <w:rFonts w:ascii="Calibri" w:hAnsi="Calibri"/>
                <w:sz w:val="18"/>
              </w:rPr>
              <w:t>the model represents linked accounts using a Bell-state/nonseparable structure</w:t>
            </w:r>
          </w:p>
        </w:tc>
      </w:tr>
      <w:tr>
        <w:tc>
          <w:tcPr>
            <w:tcW w:type="dxa" w:w="4680"/>
            <w:vAlign w:val="center"/>
            <w:tcMar>
              <w:top w:w="80" w:type="dxa"/>
              <w:start w:w="120" w:type="dxa"/>
              <w:bottom w:w="80" w:type="dxa"/>
              <w:end w:w="120" w:type="dxa"/>
            </w:tcMar>
          </w:tcPr>
          <w:p>
            <w:pPr>
              <w:spacing w:after="0"/>
              <w:jc w:val="left"/>
            </w:pPr>
            <w:r/>
            <w:r>
              <w:rPr>
                <w:rFonts w:ascii="Calibri" w:hAnsi="Calibri"/>
                <w:sz w:val="18"/>
              </w:rPr>
              <w:t>superposition allows two financial statements simultaneously</w:t>
            </w:r>
          </w:p>
        </w:tc>
        <w:tc>
          <w:tcPr>
            <w:tcW w:type="dxa" w:w="4680"/>
            <w:vAlign w:val="center"/>
            <w:tcMar>
              <w:top w:w="80" w:type="dxa"/>
              <w:start w:w="120" w:type="dxa"/>
              <w:bottom w:w="80" w:type="dxa"/>
              <w:end w:w="120" w:type="dxa"/>
            </w:tcMar>
          </w:tcPr>
          <w:p>
            <w:pPr>
              <w:spacing w:after="0"/>
              <w:jc w:val="left"/>
            </w:pPr>
            <w:r/>
            <w:r>
              <w:rPr>
                <w:rFonts w:ascii="Calibri" w:hAnsi="Calibri"/>
                <w:sz w:val="18"/>
              </w:rPr>
              <w:t>the notation represents information across multiple linked statement rows</w:t>
            </w:r>
          </w:p>
        </w:tc>
      </w:tr>
      <w:tr>
        <w:tc>
          <w:tcPr>
            <w:tcW w:type="dxa" w:w="4680"/>
            <w:vAlign w:val="center"/>
            <w:tcMar>
              <w:top w:w="80" w:type="dxa"/>
              <w:start w:w="120" w:type="dxa"/>
              <w:bottom w:w="80" w:type="dxa"/>
              <w:end w:w="120" w:type="dxa"/>
            </w:tcMar>
          </w:tcPr>
          <w:p>
            <w:pPr>
              <w:spacing w:after="0"/>
              <w:jc w:val="left"/>
            </w:pPr>
            <w:r/>
            <w:r>
              <w:rPr>
                <w:rFonts w:ascii="Calibri" w:hAnsi="Calibri"/>
                <w:sz w:val="18"/>
              </w:rPr>
              <w:t>quantum superiority arises largely from entanglement</w:t>
            </w:r>
          </w:p>
        </w:tc>
        <w:tc>
          <w:tcPr>
            <w:tcW w:type="dxa" w:w="4680"/>
            <w:vAlign w:val="center"/>
            <w:tcMar>
              <w:top w:w="80" w:type="dxa"/>
              <w:start w:w="120" w:type="dxa"/>
              <w:bottom w:w="80" w:type="dxa"/>
              <w:end w:w="120" w:type="dxa"/>
            </w:tcMar>
          </w:tcPr>
          <w:p>
            <w:pPr>
              <w:spacing w:after="0"/>
              <w:jc w:val="left"/>
            </w:pPr>
            <w:r/>
            <w:r>
              <w:rPr>
                <w:rFonts w:ascii="Calibri" w:hAnsi="Calibri"/>
                <w:sz w:val="18"/>
              </w:rPr>
              <w:t>entanglement is a key resource in many quantum-information tasks</w:t>
            </w:r>
          </w:p>
        </w:tc>
      </w:tr>
      <w:tr>
        <w:tc>
          <w:tcPr>
            <w:tcW w:type="dxa" w:w="4680"/>
            <w:vAlign w:val="center"/>
            <w:tcMar>
              <w:top w:w="80" w:type="dxa"/>
              <w:start w:w="120" w:type="dxa"/>
              <w:bottom w:w="80" w:type="dxa"/>
              <w:end w:w="120" w:type="dxa"/>
            </w:tcMar>
          </w:tcPr>
          <w:p>
            <w:pPr>
              <w:spacing w:after="0"/>
              <w:jc w:val="left"/>
            </w:pPr>
            <w:r/>
            <w:r>
              <w:rPr>
                <w:rFonts w:ascii="Calibri" w:hAnsi="Calibri"/>
                <w:sz w:val="18"/>
              </w:rPr>
              <w:t>double-entry cannot be achieved classically</w:t>
            </w:r>
          </w:p>
        </w:tc>
        <w:tc>
          <w:tcPr>
            <w:tcW w:type="dxa" w:w="4680"/>
            <w:vAlign w:val="center"/>
            <w:tcMar>
              <w:top w:w="80" w:type="dxa"/>
              <w:start w:w="120" w:type="dxa"/>
              <w:bottom w:w="80" w:type="dxa"/>
              <w:end w:w="120" w:type="dxa"/>
            </w:tcMar>
          </w:tcPr>
          <w:p>
            <w:pPr>
              <w:spacing w:after="0"/>
              <w:jc w:val="left"/>
            </w:pPr>
            <w:r/>
            <w:r>
              <w:rPr>
                <w:rFonts w:ascii="Calibri" w:hAnsi="Calibri"/>
                <w:sz w:val="18"/>
              </w:rPr>
              <w:t>the modeled effect is not available to the corresponding scalar/single-entry representation</w:t>
            </w:r>
          </w:p>
        </w:tc>
      </w:tr>
      <w:tr>
        <w:tc>
          <w:tcPr>
            <w:tcW w:type="dxa" w:w="4680"/>
            <w:vAlign w:val="center"/>
            <w:tcMar>
              <w:top w:w="80" w:type="dxa"/>
              <w:start w:w="120" w:type="dxa"/>
              <w:bottom w:w="80" w:type="dxa"/>
              <w:end w:w="120" w:type="dxa"/>
            </w:tcMar>
          </w:tcPr>
          <w:p>
            <w:pPr>
              <w:spacing w:after="0"/>
              <w:jc w:val="left"/>
            </w:pPr>
            <w:r/>
            <w:r>
              <w:rPr>
                <w:rFonts w:ascii="Calibri" w:hAnsi="Calibri"/>
                <w:sz w:val="18"/>
              </w:rPr>
              <w:t>this explains the survival of double-entry</w:t>
            </w:r>
          </w:p>
        </w:tc>
        <w:tc>
          <w:tcPr>
            <w:tcW w:type="dxa" w:w="4680"/>
            <w:vAlign w:val="center"/>
            <w:tcMar>
              <w:top w:w="80" w:type="dxa"/>
              <w:start w:w="120" w:type="dxa"/>
              <w:bottom w:w="80" w:type="dxa"/>
              <w:end w:w="120" w:type="dxa"/>
            </w:tcMar>
          </w:tcPr>
          <w:p>
            <w:pPr>
              <w:spacing w:after="0"/>
              <w:jc w:val="left"/>
            </w:pPr>
            <w:r/>
            <w:r>
              <w:rPr>
                <w:rFonts w:ascii="Calibri" w:hAnsi="Calibri"/>
                <w:sz w:val="18"/>
              </w:rPr>
              <w:t>this offers one information-theoretic explanation for the durability of double-entry</w:t>
            </w:r>
          </w:p>
        </w:tc>
      </w:tr>
    </w:tbl>
    <w:p>
      <w:pPr>
        <w:pStyle w:val="Heading2"/>
      </w:pPr>
      <w:r>
        <w:t>Technical Corrections To Carry Into The Rewrite</w:t>
      </w:r>
    </w:p>
    <w:p>
      <w:pPr>
        <w:pStyle w:val="ListBullet"/>
      </w:pPr>
      <w:r>
        <w:t>State the exact odd-cycle value as 1/2 + sqrt(3)/4 = cos^2(pi/12), approximately 0.933.</w:t>
      </w:r>
    </w:p>
    <w:p>
      <w:pPr>
        <w:pStyle w:val="ListBullet"/>
      </w:pPr>
      <w:r>
        <w:t>Explain that the classical 3-seat odd-cycle bound is 5/6 because any two-coloring of an odd cycle must fail on at least one of the six same/adjacent assignments.</w:t>
      </w:r>
    </w:p>
    <w:p>
      <w:pPr>
        <w:pStyle w:val="ListBullet"/>
      </w:pPr>
      <w:r>
        <w:t>Correct composite-system language so it does not exclude entangled states.</w:t>
      </w:r>
    </w:p>
    <w:p>
      <w:pPr>
        <w:pStyle w:val="ListBullet"/>
      </w:pPr>
      <w:r>
        <w:t>Keep amplitude tracking explicit whenever superposition or measurement appears.</w:t>
      </w:r>
    </w:p>
    <w:p>
      <w:pPr>
        <w:pStyle w:val="ListBullet"/>
      </w:pPr>
      <w:r>
        <w:t>Distinguish global phase from relative phase if phase-shift examples become detailed.</w:t>
      </w:r>
    </w:p>
    <w:p>
      <w:pPr>
        <w:pStyle w:val="ListBullet"/>
      </w:pPr>
      <w:r>
        <w:t>Treat reversibility as shared by quantum circuits and classical reversible circuits.</w:t>
      </w:r>
    </w:p>
    <w:p>
      <w:pPr>
        <w:pStyle w:val="ListBullet"/>
      </w:pPr>
      <w:r>
        <w:t>In the channel-capacity discussion, state the exact accounting conditions: multiple linked statement rows and at least two accounts satisfying articulation identities.</w:t>
      </w:r>
    </w:p>
    <w:p>
      <w:pPr>
        <w:pStyle w:val="ListBullet"/>
      </w:pPr>
      <w:r>
        <w:t>Verify Demski et al. 2008 before relying heavily on the agency threshold result.</w:t>
      </w:r>
    </w:p>
    <w:p>
      <w:pPr>
        <w:pStyle w:val="Heading2"/>
      </w:pPr>
      <w:r>
        <w:t>Rewrite Strategy</w:t>
      </w:r>
    </w:p>
    <w:p>
      <w:pPr>
        <w:pStyle w:val="ListNumber"/>
      </w:pPr>
      <w:r>
        <w:t>Preserve the original intellectual ambition, but make the vocabulary disciplined.</w:t>
      </w:r>
    </w:p>
    <w:p>
      <w:pPr>
        <w:pStyle w:val="ListNumber"/>
      </w:pPr>
      <w:r>
        <w:t>Move from accounting intuition to quantum formalism, not the other way around.</w:t>
      </w:r>
    </w:p>
    <w:p>
      <w:pPr>
        <w:pStyle w:val="ListNumber"/>
      </w:pPr>
      <w:r>
        <w:t>Use the technical claims as support for a readable thesis about relational information architecture.</w:t>
      </w:r>
    </w:p>
    <w:p>
      <w:pPr>
        <w:pStyle w:val="ListNumber"/>
      </w:pPr>
      <w:r>
        <w:t>Add short examples before formal claims whenever possible.</w:t>
      </w:r>
    </w:p>
    <w:p>
      <w:pPr>
        <w:pStyle w:val="ListNumber"/>
      </w:pPr>
      <w:r>
        <w:t>Keep the chapter interesting by emphasizing the surprise: an old accounting architecture and modern quantum information theory share a concern with relationships, transformations, and what can be learned from linked states.</w:t>
      </w:r>
    </w:p>
    <w:p>
      <w:pPr>
        <w:pStyle w:val="Heading2"/>
      </w:pPr>
      <w:r>
        <w:t>Proposed Next Deliverables</w:t>
      </w:r>
    </w:p>
    <w:p>
      <w:pPr>
        <w:pStyle w:val="ListNumber"/>
      </w:pPr>
      <w:r>
        <w:t>Annotated review version of Chapter.docx with margin comments tied to the claim ledger.</w:t>
      </w:r>
    </w:p>
    <w:p>
      <w:pPr>
        <w:pStyle w:val="ListNumber"/>
      </w:pPr>
      <w:r>
        <w:t>Clean rewritten version of Chapter.docx with the revised thesis and structure.</w:t>
      </w:r>
    </w:p>
    <w:p>
      <w:pPr>
        <w:pStyle w:val="ListNumber"/>
      </w:pPr>
      <w:r>
        <w:t>A short "technical appendix or notes" file, if needed, preserving exact formulas that are too heavy for the main chapter.</w:t>
      </w:r>
    </w:p>
    <w:p>
      <w:pPr>
        <w:pStyle w:val="ListNumber"/>
      </w:pPr>
      <w:r>
        <w:t>Rendered visual QA pass on the final DOCX before delivery.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