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B2D07" w14:textId="3860CAE3" w:rsidR="00D84A82" w:rsidRDefault="002A5D87" w:rsidP="002A5D87">
      <w:pPr>
        <w:jc w:val="center"/>
        <w:rPr>
          <w:b/>
          <w:bCs/>
          <w:sz w:val="26"/>
          <w:szCs w:val="26"/>
        </w:rPr>
      </w:pPr>
      <w:r w:rsidRPr="002A5D87">
        <w:rPr>
          <w:b/>
          <w:bCs/>
          <w:sz w:val="26"/>
          <w:szCs w:val="26"/>
        </w:rPr>
        <w:t>Information Processing Using Double-Entry System in the Quantum Era</w:t>
      </w:r>
    </w:p>
    <w:p w14:paraId="51038DEA" w14:textId="77777777" w:rsidR="007A4E99" w:rsidRDefault="007A4E99" w:rsidP="002A5D87">
      <w:pPr>
        <w:jc w:val="center"/>
        <w:rPr>
          <w:b/>
          <w:bCs/>
          <w:sz w:val="26"/>
          <w:szCs w:val="26"/>
        </w:rPr>
      </w:pPr>
    </w:p>
    <w:p w14:paraId="67F92517" w14:textId="5E807C96" w:rsidR="00313B2A" w:rsidRPr="00313B2A" w:rsidRDefault="00313B2A" w:rsidP="002A5D87">
      <w:pPr>
        <w:jc w:val="center"/>
        <w:rPr>
          <w:sz w:val="24"/>
          <w:szCs w:val="24"/>
        </w:rPr>
      </w:pPr>
      <w:r w:rsidRPr="00313B2A">
        <w:rPr>
          <w:sz w:val="24"/>
          <w:szCs w:val="24"/>
        </w:rPr>
        <w:t>Rick Antle   Yale University</w:t>
      </w:r>
    </w:p>
    <w:p w14:paraId="4C7A7902" w14:textId="5771D78A" w:rsidR="00313B2A" w:rsidRPr="00313B2A" w:rsidRDefault="00313B2A" w:rsidP="002A5D87">
      <w:pPr>
        <w:jc w:val="center"/>
        <w:rPr>
          <w:sz w:val="24"/>
          <w:szCs w:val="24"/>
        </w:rPr>
      </w:pPr>
      <w:r w:rsidRPr="00313B2A">
        <w:rPr>
          <w:sz w:val="24"/>
          <w:szCs w:val="24"/>
        </w:rPr>
        <w:t>John Fellingham   Ohio State University</w:t>
      </w:r>
    </w:p>
    <w:p w14:paraId="0F026B10" w14:textId="28A551E7" w:rsidR="00313B2A" w:rsidRDefault="00313B2A" w:rsidP="002A5D87">
      <w:pPr>
        <w:jc w:val="center"/>
        <w:rPr>
          <w:sz w:val="24"/>
          <w:szCs w:val="24"/>
        </w:rPr>
      </w:pPr>
      <w:r w:rsidRPr="00313B2A">
        <w:rPr>
          <w:sz w:val="24"/>
          <w:szCs w:val="24"/>
        </w:rPr>
        <w:t>Haijin Lin   University of Houston</w:t>
      </w:r>
    </w:p>
    <w:p w14:paraId="37B55542" w14:textId="711E7AAB" w:rsidR="0017466D" w:rsidRPr="00313B2A" w:rsidRDefault="0017466D" w:rsidP="002A5D87">
      <w:pPr>
        <w:jc w:val="center"/>
        <w:rPr>
          <w:sz w:val="24"/>
          <w:szCs w:val="24"/>
        </w:rPr>
      </w:pPr>
      <w:r>
        <w:rPr>
          <w:sz w:val="24"/>
          <w:szCs w:val="24"/>
        </w:rPr>
        <w:t xml:space="preserve">Douglas Schroeder  </w:t>
      </w:r>
      <w:r w:rsidR="00A82004">
        <w:rPr>
          <w:sz w:val="24"/>
          <w:szCs w:val="24"/>
        </w:rPr>
        <w:t xml:space="preserve"> </w:t>
      </w:r>
      <w:r>
        <w:rPr>
          <w:sz w:val="24"/>
          <w:szCs w:val="24"/>
        </w:rPr>
        <w:t>Ohio State University</w:t>
      </w:r>
    </w:p>
    <w:p w14:paraId="0A2AD7CC" w14:textId="77777777" w:rsidR="00313B2A" w:rsidRPr="002A5D87" w:rsidRDefault="00313B2A" w:rsidP="002A5D87">
      <w:pPr>
        <w:jc w:val="center"/>
        <w:rPr>
          <w:b/>
          <w:bCs/>
          <w:sz w:val="26"/>
          <w:szCs w:val="26"/>
        </w:rPr>
      </w:pPr>
    </w:p>
    <w:p w14:paraId="5F158D56" w14:textId="733D63B7" w:rsidR="00FF2D9C" w:rsidRDefault="00FF2D9C" w:rsidP="00A4429C">
      <w:pPr>
        <w:spacing w:line="240" w:lineRule="auto"/>
        <w:ind w:firstLine="720"/>
      </w:pPr>
      <w:r>
        <w:t xml:space="preserve">Organizations have been profoundly reshaped by digital transformation. Core functions—from accounting and supply chain management to customer service—now rely on software, data infrastructures, and automation processes. Because organizations increasingly </w:t>
      </w:r>
      <w:r w:rsidR="003A70FA">
        <w:t>depend on computer-based system</w:t>
      </w:r>
      <w:r w:rsidR="00A15269">
        <w:t>s</w:t>
      </w:r>
      <w:r w:rsidR="003A70FA">
        <w:t xml:space="preserve"> </w:t>
      </w:r>
      <w:r w:rsidR="007D3A03">
        <w:t xml:space="preserve">to </w:t>
      </w:r>
      <w:r w:rsidR="00A15269">
        <w:t xml:space="preserve">coordinate activities, </w:t>
      </w:r>
      <w:r>
        <w:t xml:space="preserve">changes in computational logic may influence how </w:t>
      </w:r>
      <w:r w:rsidR="00B7698A">
        <w:t xml:space="preserve">information is represented and managed. </w:t>
      </w:r>
      <w:r>
        <w:t xml:space="preserve"> </w:t>
      </w:r>
    </w:p>
    <w:p w14:paraId="44452F12" w14:textId="53018683" w:rsidR="004701CB" w:rsidRDefault="00FF2D9C" w:rsidP="004701CB">
      <w:pPr>
        <w:spacing w:line="240" w:lineRule="auto"/>
        <w:ind w:firstLine="720"/>
      </w:pPr>
      <w:r>
        <w:t xml:space="preserve">The double-entry system has long served as </w:t>
      </w:r>
      <w:r w:rsidR="00DD0C57">
        <w:t xml:space="preserve">a foundational </w:t>
      </w:r>
      <w:r w:rsidR="000F4855">
        <w:t xml:space="preserve">information </w:t>
      </w:r>
      <w:r w:rsidR="004B64AC">
        <w:t xml:space="preserve">architecture for recording and processing economic information. </w:t>
      </w:r>
      <w:r w:rsidR="00B8641E">
        <w:t>M</w:t>
      </w:r>
      <w:r>
        <w:t xml:space="preserve">odern digital systems have largely </w:t>
      </w:r>
      <w:r w:rsidR="00B124A1">
        <w:t xml:space="preserve">embedded </w:t>
      </w:r>
      <w:r w:rsidR="004B64AC">
        <w:t xml:space="preserve">it within </w:t>
      </w:r>
      <w:r>
        <w:t>a classical computing framework</w:t>
      </w:r>
      <w:r w:rsidR="00CF2AF6">
        <w:t xml:space="preserve"> characterized by </w:t>
      </w:r>
      <w:r>
        <w:t xml:space="preserve">deterministic states, sequential procedures, and binary distinctions. As quantum computing progresses from theoretical curiosity to engineering reality (Stackpole 2025), it raises </w:t>
      </w:r>
      <w:r w:rsidR="004701CB">
        <w:t>a</w:t>
      </w:r>
      <w:r w:rsidR="00846B99">
        <w:t xml:space="preserve"> fundamental </w:t>
      </w:r>
      <w:r w:rsidR="004701CB">
        <w:t xml:space="preserve">question: if computational processes increasingly rely on </w:t>
      </w:r>
      <w:r w:rsidR="00C15164">
        <w:t xml:space="preserve">quantum concepts such as </w:t>
      </w:r>
      <w:r w:rsidR="004701CB">
        <w:t xml:space="preserve">superposition, entanglement, and probabilistic outcomes, must </w:t>
      </w:r>
      <w:r w:rsidR="00393CD0">
        <w:t xml:space="preserve">the </w:t>
      </w:r>
      <w:r w:rsidR="000F4855">
        <w:t xml:space="preserve">information </w:t>
      </w:r>
      <w:r w:rsidR="00FB5A83">
        <w:t>architecture</w:t>
      </w:r>
      <w:r w:rsidR="00393CD0">
        <w:t xml:space="preserve"> </w:t>
      </w:r>
      <w:r w:rsidR="00FE776B">
        <w:t>within</w:t>
      </w:r>
      <w:r w:rsidR="000F4855">
        <w:t xml:space="preserve"> organizations </w:t>
      </w:r>
      <w:r w:rsidR="007C0D3B">
        <w:t xml:space="preserve">also change? </w:t>
      </w:r>
      <w:r w:rsidR="00B7698A">
        <w:t>More specifically,</w:t>
      </w:r>
      <w:r w:rsidR="00393CD0">
        <w:t xml:space="preserve"> can the </w:t>
      </w:r>
      <w:r w:rsidR="004701CB">
        <w:t xml:space="preserve">double-entry </w:t>
      </w:r>
      <w:r w:rsidR="000F4855">
        <w:t xml:space="preserve">system </w:t>
      </w:r>
      <w:r w:rsidR="00393CD0">
        <w:t xml:space="preserve">continue to be relevant </w:t>
      </w:r>
      <w:r w:rsidR="004701CB">
        <w:t>in the quantum era?</w:t>
      </w:r>
    </w:p>
    <w:p w14:paraId="44DD5C7C" w14:textId="59F3CF22" w:rsidR="00846B99" w:rsidRDefault="000F4855" w:rsidP="006D34F9">
      <w:pPr>
        <w:spacing w:line="240" w:lineRule="auto"/>
        <w:ind w:firstLine="720"/>
      </w:pPr>
      <w:r>
        <w:t xml:space="preserve">Our answer is </w:t>
      </w:r>
      <w:r w:rsidR="001F6388">
        <w:t>yes.</w:t>
      </w:r>
      <w:r>
        <w:t xml:space="preserve"> </w:t>
      </w:r>
      <w:r w:rsidR="004701CB">
        <w:t xml:space="preserve">In this chapter, we argue that </w:t>
      </w:r>
      <w:r w:rsidR="00984AA9">
        <w:t xml:space="preserve">the structure and logic of </w:t>
      </w:r>
      <w:r w:rsidR="004701CB">
        <w:t xml:space="preserve">the double-entry system </w:t>
      </w:r>
      <w:r w:rsidR="00984AA9">
        <w:t xml:space="preserve">can be used </w:t>
      </w:r>
      <w:r w:rsidR="007D43EB">
        <w:t>to represent fundamental quantum operations (Fellingham et al., 2025).</w:t>
      </w:r>
      <w:r w:rsidR="00846B99">
        <w:t xml:space="preserve"> Viewing accounting through this lens reveals structural parallels between the</w:t>
      </w:r>
      <w:r w:rsidR="004C2E0D">
        <w:t xml:space="preserve"> </w:t>
      </w:r>
      <w:r w:rsidR="00846B99">
        <w:t xml:space="preserve">double-entry system and quantum information processing. </w:t>
      </w:r>
      <w:r w:rsidR="00BA4867">
        <w:t xml:space="preserve">These parallels suggest that the double-entry system remains relevant because its underlying information </w:t>
      </w:r>
      <w:r w:rsidR="005D0153">
        <w:t>architecture</w:t>
      </w:r>
      <w:r w:rsidR="00BA4867">
        <w:t xml:space="preserve"> extends naturally beyond the classical setting. </w:t>
      </w:r>
    </w:p>
    <w:p w14:paraId="2ED62F0B" w14:textId="223587B6" w:rsidR="00275927" w:rsidRDefault="00275927" w:rsidP="00275927">
      <w:pPr>
        <w:spacing w:line="240" w:lineRule="auto"/>
        <w:ind w:firstLine="720"/>
      </w:pPr>
      <w:r>
        <w:t xml:space="preserve">Our objective is not to claim that the double-entry system physically performs quantum computation, but rather that it provides a useful framework for representing and understanding key features of both classical and quantum </w:t>
      </w:r>
      <w:r w:rsidR="002A1096">
        <w:t>information</w:t>
      </w:r>
      <w:r w:rsidR="00367C71">
        <w:t xml:space="preserve"> </w:t>
      </w:r>
      <w:r w:rsidR="002A1096">
        <w:t>processing</w:t>
      </w:r>
      <w:r>
        <w:t>. From this perspective, the advantage of quantum computing over classical computing helps highlight</w:t>
      </w:r>
      <w:r w:rsidR="002E0A73">
        <w:t xml:space="preserve"> </w:t>
      </w:r>
      <w:r>
        <w:t>the</w:t>
      </w:r>
      <w:r w:rsidR="003E0C51">
        <w:t xml:space="preserve"> </w:t>
      </w:r>
      <w:r w:rsidR="004C2E0D">
        <w:t xml:space="preserve">information </w:t>
      </w:r>
      <w:r w:rsidR="004B64AC">
        <w:t xml:space="preserve">architecture </w:t>
      </w:r>
      <w:r>
        <w:t>that give</w:t>
      </w:r>
      <w:r w:rsidR="004C2E0D">
        <w:t>s</w:t>
      </w:r>
      <w:r>
        <w:t xml:space="preserve"> double-entry system advantages over single-entry system. This </w:t>
      </w:r>
      <w:r w:rsidR="003E0C51">
        <w:t xml:space="preserve">lens may also </w:t>
      </w:r>
      <w:r w:rsidR="002E0A73">
        <w:t xml:space="preserve">provide </w:t>
      </w:r>
      <w:r>
        <w:t xml:space="preserve">new insights into how organizations could be </w:t>
      </w:r>
      <w:r w:rsidR="003E0C51">
        <w:t xml:space="preserve">designed </w:t>
      </w:r>
      <w:r>
        <w:t xml:space="preserve">to better </w:t>
      </w:r>
      <w:r w:rsidR="002E0A73">
        <w:t>exploit</w:t>
      </w:r>
      <w:r>
        <w:t xml:space="preserve"> the information-processing capabilities </w:t>
      </w:r>
      <w:r w:rsidR="004C2E0D">
        <w:t xml:space="preserve">shared by both </w:t>
      </w:r>
      <w:r w:rsidR="003E0C51">
        <w:t xml:space="preserve">the </w:t>
      </w:r>
      <w:r>
        <w:t xml:space="preserve">double-entry system and quantum computing. </w:t>
      </w:r>
    </w:p>
    <w:p w14:paraId="0CB51B89" w14:textId="24F4997E" w:rsidR="00EB5656" w:rsidRPr="00EB5656" w:rsidRDefault="00EB5656" w:rsidP="00EB5656">
      <w:pPr>
        <w:spacing w:line="240" w:lineRule="auto"/>
        <w:ind w:firstLine="720"/>
      </w:pPr>
      <w:r w:rsidRPr="00EB5656">
        <w:t xml:space="preserve">We begin in Section 1 by examining accounting from an information science perspective. Using the three-way framing equivalence among economics, accounting, and information developed by Fellingham et al. (2022), we show that decision-making, accounting numbers, and </w:t>
      </w:r>
      <w:r w:rsidR="00FE776B">
        <w:t>entropy</w:t>
      </w:r>
      <w:r w:rsidRPr="00EB5656">
        <w:t xml:space="preserve"> can be viewed as alternative representations of the same underlying economic activities. This equivalence establishes the double-entry system as an information-processing architecture </w:t>
      </w:r>
      <w:r w:rsidR="008F45F8">
        <w:t>for organizations</w:t>
      </w:r>
      <w:r w:rsidRPr="00EB5656">
        <w:t>.</w:t>
      </w:r>
    </w:p>
    <w:p w14:paraId="1AEE08AD" w14:textId="024B21A5" w:rsidR="00EB5656" w:rsidRDefault="00EB5656" w:rsidP="00EB5656">
      <w:pPr>
        <w:spacing w:line="240" w:lineRule="auto"/>
        <w:ind w:firstLine="720"/>
      </w:pPr>
      <w:r w:rsidRPr="00EB5656">
        <w:t xml:space="preserve">In Section 2, we demonstrate that the double-entry framework can represent both classical and quantum computation. Building on the </w:t>
      </w:r>
      <w:r w:rsidR="008F45F8">
        <w:t xml:space="preserve">framework developed </w:t>
      </w:r>
      <w:r w:rsidRPr="00EB5656">
        <w:t>by Fellingham et al. (2025), we show how</w:t>
      </w:r>
      <w:r w:rsidR="008F45F8">
        <w:t xml:space="preserve"> </w:t>
      </w:r>
      <w:r w:rsidR="008F45F8">
        <w:lastRenderedPageBreak/>
        <w:t xml:space="preserve">qubits, </w:t>
      </w:r>
      <w:r w:rsidRPr="00EB5656">
        <w:t xml:space="preserve">quantum gates, superposition, and conditional operations can be encoded using </w:t>
      </w:r>
      <w:r w:rsidR="0017466D">
        <w:t>T-</w:t>
      </w:r>
      <w:r w:rsidRPr="00EB5656">
        <w:t xml:space="preserve">accounts and journal entries. </w:t>
      </w:r>
      <w:r w:rsidR="0089004D">
        <w:t>Using these encodings, t</w:t>
      </w:r>
      <w:r w:rsidRPr="00EB5656">
        <w:t>he double-entry system can represent both the Hadamard gate and the Toffoli gate</w:t>
      </w:r>
      <w:r w:rsidR="00F65B95">
        <w:t>, which together form a universal gate set for quantum computation</w:t>
      </w:r>
      <w:r w:rsidR="008F45F8">
        <w:t xml:space="preserve">. As a result, </w:t>
      </w:r>
      <w:r w:rsidRPr="00EB5656">
        <w:t>it possesses the representational capacity necessary to simulate both classical and quantum computation.</w:t>
      </w:r>
    </w:p>
    <w:p w14:paraId="24B89F54" w14:textId="16AE2FD2" w:rsidR="009F18B5" w:rsidRDefault="009F18B5" w:rsidP="009F18B5">
      <w:pPr>
        <w:spacing w:line="240" w:lineRule="auto"/>
        <w:ind w:firstLine="720"/>
      </w:pPr>
      <w:r w:rsidRPr="00EB5656">
        <w:t xml:space="preserve">In Section 3, we extend the analysis to entanglement, one of the defining resources of quantum information processing. We first show how </w:t>
      </w:r>
      <w:r>
        <w:t xml:space="preserve">the entangled qubits </w:t>
      </w:r>
      <w:r w:rsidRPr="00EB5656">
        <w:t xml:space="preserve">can be </w:t>
      </w:r>
      <w:r>
        <w:t xml:space="preserve">constructed </w:t>
      </w:r>
      <w:r w:rsidRPr="00EB5656">
        <w:t>within the double-entry framework. We then examine the informational value of entanglement in three settings</w:t>
      </w:r>
      <w:r>
        <w:t xml:space="preserve">: information transmission, coordination with limited information and restricted communication, and </w:t>
      </w:r>
      <w:r w:rsidR="00F65B95">
        <w:t xml:space="preserve">incentives in an </w:t>
      </w:r>
      <w:r>
        <w:t xml:space="preserve">agency </w:t>
      </w:r>
      <w:r w:rsidR="00F65B95">
        <w:t xml:space="preserve">setting. </w:t>
      </w:r>
      <w:r>
        <w:t xml:space="preserve">Concluding remarks are offered in Section 4. </w:t>
      </w:r>
    </w:p>
    <w:p w14:paraId="40D4D91F" w14:textId="77777777" w:rsidR="00F52061" w:rsidRDefault="00F52061" w:rsidP="00F52061">
      <w:pPr>
        <w:spacing w:line="240" w:lineRule="auto"/>
        <w:ind w:firstLine="720"/>
        <w:rPr>
          <w:b/>
          <w:bCs/>
        </w:rPr>
      </w:pPr>
    </w:p>
    <w:p w14:paraId="0E4A17C2" w14:textId="478AFB21" w:rsidR="0047288A" w:rsidRDefault="007C01CE" w:rsidP="0047288A">
      <w:r>
        <w:rPr>
          <w:b/>
          <w:bCs/>
        </w:rPr>
        <w:t>1</w:t>
      </w:r>
      <w:r w:rsidR="00BF5BEB">
        <w:rPr>
          <w:b/>
          <w:bCs/>
        </w:rPr>
        <w:t>.</w:t>
      </w:r>
      <w:r w:rsidR="0047288A" w:rsidRPr="00BB5767">
        <w:t xml:space="preserve"> </w:t>
      </w:r>
      <w:r w:rsidR="0047288A">
        <w:rPr>
          <w:b/>
          <w:bCs/>
        </w:rPr>
        <w:t>Double-entry System as an Information-Processing Architecture</w:t>
      </w:r>
    </w:p>
    <w:p w14:paraId="4B7E3927" w14:textId="0C04E8CB" w:rsidR="0047288A" w:rsidRDefault="0047288A" w:rsidP="0047288A">
      <w:r>
        <w:tab/>
      </w:r>
      <w:r w:rsidR="0017466D">
        <w:t>We</w:t>
      </w:r>
      <w:r>
        <w:t xml:space="preserve"> examine accounting from an information science perspective. Specifically, accounting is not merely recordkeeping, but a system for producing, structuring, transmitting, and using information—much like the way information science studies data, signals, codes, and communication. </w:t>
      </w:r>
    </w:p>
    <w:p w14:paraId="4463788A" w14:textId="5A97DED7" w:rsidR="0047288A" w:rsidRDefault="0047288A" w:rsidP="0047288A">
      <w:pPr>
        <w:ind w:firstLine="720"/>
      </w:pPr>
      <w:r>
        <w:t xml:space="preserve">Drawing on Shannon’s information theory (Shannon, 1948), which studies how uncertainty is represented, transmitted, and reduced, we treat accounting as central </w:t>
      </w:r>
      <w:r w:rsidR="00180AF1">
        <w:t xml:space="preserve">to </w:t>
      </w:r>
      <w:r>
        <w:t xml:space="preserve">managing uncertainty in organizational decision-making. In economics, organizational decisions regarding resource allocation, budgeting, and incentive contracting all rely on expectations about uncertain future states. Accounting provides the structural language—the double-entry system—through which organizational states are represented, coordinated, updated, and communicated. In this sense, the double-entry system is fundamentally an information-processing architecture. </w:t>
      </w:r>
    </w:p>
    <w:p w14:paraId="37142B23" w14:textId="6A0DAB57" w:rsidR="0047288A" w:rsidRDefault="0047288A" w:rsidP="0047288A">
      <w:pPr>
        <w:spacing w:line="240" w:lineRule="auto"/>
        <w:ind w:firstLine="720"/>
      </w:pPr>
      <w:r>
        <w:t>One illustration of th</w:t>
      </w:r>
      <w:r w:rsidR="0017466D">
        <w:t>e</w:t>
      </w:r>
      <w:r>
        <w:t xml:space="preserve"> information science perspective is the three-way framing equivalence developed by Fellingham et al. (2022), which shows that a firm’s economic return, accounting numbers, and the amount of information available to the firm are mathematically identical representations of the same underlying economic activities. Under this framework, a question posed in one frame can be reformulated in the other two. For example, a decision problem can be recast as an accounting problem or as an information problem. In this sense, accounting can be understood as an information science concerned with representing and processing economic states generated by organizational activities. </w:t>
      </w:r>
    </w:p>
    <w:p w14:paraId="7E8CDEFF" w14:textId="4C217ED3" w:rsidR="00070833" w:rsidRDefault="00DA6ACD" w:rsidP="00070833">
      <w:pPr>
        <w:spacing w:line="240" w:lineRule="auto"/>
        <w:ind w:firstLine="720"/>
      </w:pPr>
      <w:r w:rsidRPr="00734869">
        <w:t>To establish this equivalence, we use the Kelly gambling problem—a classic problem in decision</w:t>
      </w:r>
      <w:r>
        <w:t xml:space="preserve"> theory that yields clean and intuitive results. The analysis relies on several standard assumptions: the long-horizon decision frame</w:t>
      </w:r>
      <w:r w:rsidR="00070833">
        <w:t>,</w:t>
      </w:r>
      <w:r>
        <w:t xml:space="preserve"> </w:t>
      </w:r>
      <w:r w:rsidR="00070833">
        <w:t xml:space="preserve">the Law of Large Numbers, </w:t>
      </w:r>
      <w:r>
        <w:t xml:space="preserve">and arbitrage-free pricing. </w:t>
      </w:r>
    </w:p>
    <w:p w14:paraId="3CD17D7E" w14:textId="6B679EAA" w:rsidR="001B28EE" w:rsidRDefault="00070833" w:rsidP="00070833">
      <w:pPr>
        <w:spacing w:line="240" w:lineRule="auto"/>
        <w:ind w:firstLine="720"/>
      </w:pPr>
      <w:r>
        <w:t xml:space="preserve">Specifically, a Kelly investor repeatedly allocates wealth across states to maximize long-run growth. Let </w:t>
      </w: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m:t>
            </m:r>
          </m:sub>
        </m:sSub>
      </m:oMath>
      <w:r>
        <w:t xml:space="preserve"> be the probability of state i, </w:t>
      </w:r>
      <m:oMath>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i</m:t>
            </m:r>
          </m:sub>
        </m:sSub>
      </m:oMath>
      <w:r>
        <w:t xml:space="preserve"> the fraction invested, and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the payoff in state i. The optimal strategy is the Kelly criterion: the Kelly investor bets a fraction of wealth equal to the probability of each state, </w:t>
      </w:r>
      <m:oMath>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m:t>
            </m:r>
          </m:sub>
        </m:sSub>
      </m:oMath>
      <w:r>
        <w:t xml:space="preserve"> (Kelly 1956). </w:t>
      </w:r>
    </w:p>
    <w:p w14:paraId="6575A2AD" w14:textId="5A7A5B9A" w:rsidR="00202A77" w:rsidRDefault="00070833" w:rsidP="00070833">
      <w:pPr>
        <w:spacing w:line="240" w:lineRule="auto"/>
        <w:ind w:firstLine="720"/>
      </w:pPr>
      <w:r w:rsidRPr="00070833">
        <w:t xml:space="preserve">In the decision frame, </w:t>
      </w:r>
      <w:r w:rsidR="003159B7">
        <w:t>arbitrage-free pricing provides a consistent valuation of uncertain outcomes. The l</w:t>
      </w:r>
      <w:r>
        <w:t>ong-horizon decision</w:t>
      </w:r>
      <w:r w:rsidR="003159B7">
        <w:t xml:space="preserve"> frame </w:t>
      </w:r>
      <w:r w:rsidR="00202A77">
        <w:t>captures the going-concern perspective</w:t>
      </w:r>
      <w:r w:rsidR="00C82EC5">
        <w:t xml:space="preserve">, </w:t>
      </w:r>
      <w:r w:rsidR="00202A77">
        <w:t>so that the decision</w:t>
      </w:r>
      <w:r w:rsidR="003159B7">
        <w:t>s are made to m</w:t>
      </w:r>
      <w:r w:rsidR="00202A77">
        <w:t xml:space="preserve">aximize long-run growth. The Law of Large Numbers connects repeated outcomes to long-run growth. As a result, maximizing long-run average growth is equivalent to </w:t>
      </w:r>
      <w:r w:rsidR="00202A77">
        <w:lastRenderedPageBreak/>
        <w:t>maximizing the expected log return per period.</w:t>
      </w:r>
      <w:r w:rsidR="00202A77">
        <w:rPr>
          <w:rStyle w:val="FootnoteReference"/>
        </w:rPr>
        <w:footnoteReference w:id="1"/>
      </w:r>
      <w:r w:rsidR="00202A77">
        <w:t xml:space="preserve"> </w:t>
      </w:r>
      <w:r w:rsidR="00A42981">
        <w:t>T</w:t>
      </w:r>
      <w:r w:rsidR="00202A77">
        <w:t>he expected log return</w:t>
      </w:r>
      <w:r w:rsidR="00244403">
        <w:t xml:space="preserve"> under </w:t>
      </w:r>
      <m:oMath>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m:t>
            </m:r>
          </m:sub>
        </m:sSub>
      </m:oMath>
      <w:r w:rsidR="00202A77">
        <w:t>, denoted as E(r)</w:t>
      </w:r>
      <w:r w:rsidR="0017466D">
        <w:t xml:space="preserve"> in (1)</w:t>
      </w:r>
      <w:r w:rsidR="00202A77">
        <w:t xml:space="preserve">, </w:t>
      </w:r>
      <w:r w:rsidR="00A42981">
        <w:t xml:space="preserve">is </w:t>
      </w:r>
      <w:r w:rsidR="00202A77">
        <w:t xml:space="preserve">decomposed into a </w:t>
      </w:r>
      <w:r w:rsidR="00244403">
        <w:t xml:space="preserve">negative entropy term and a payoff term. </w:t>
      </w:r>
    </w:p>
    <w:p w14:paraId="30840F20" w14:textId="755A3315" w:rsidR="00070833" w:rsidRPr="00FD2670" w:rsidRDefault="00070833" w:rsidP="00070833">
      <w:pPr>
        <w:spacing w:line="240" w:lineRule="auto"/>
        <w:ind w:firstLine="720"/>
      </w:pPr>
      <w:r>
        <w:t xml:space="preserve">                                    </w:t>
      </w:r>
      <w:r w:rsidRPr="00244403">
        <w:t xml:space="preserve"> </w:t>
      </w:r>
      <m:oMath>
        <m:r>
          <m:rPr>
            <m:sty m:val="p"/>
          </m:rPr>
          <w:rPr>
            <w:rFonts w:ascii="Cambria Math" w:hAnsi="Cambria Math"/>
          </w:rPr>
          <m:t>E(r)=</m:t>
        </m:r>
        <m:nary>
          <m:naryPr>
            <m:chr m:val="∑"/>
            <m:limLoc m:val="undOvr"/>
            <m:supHide m:val="1"/>
            <m:ctrlPr>
              <w:rPr>
                <w:rFonts w:ascii="Cambria Math" w:hAnsi="Cambria Math"/>
              </w:rPr>
            </m:ctrlPr>
          </m:naryPr>
          <m:sub>
            <m:r>
              <m:rPr>
                <m:sty m:val="p"/>
              </m:rPr>
              <w:rPr>
                <w:rFonts w:ascii="Cambria Math" w:hAnsi="Cambria Math"/>
              </w:rPr>
              <m:t>i</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e>
        </m:nary>
        <m:r>
          <m:rPr>
            <m:sty m:val="p"/>
          </m:rPr>
          <w:rPr>
            <w:rFonts w:ascii="Cambria Math" w:hAnsi="Cambria Math"/>
          </w:rPr>
          <m:t>=-H(p)+</m:t>
        </m:r>
        <m:nary>
          <m:naryPr>
            <m:chr m:val="∑"/>
            <m:limLoc m:val="undOvr"/>
            <m:supHide m:val="1"/>
            <m:ctrlPr>
              <w:rPr>
                <w:rFonts w:ascii="Cambria Math" w:hAnsi="Cambria Math"/>
              </w:rPr>
            </m:ctrlPr>
          </m:naryPr>
          <m:sub>
            <m:r>
              <m:rPr>
                <m:sty m:val="p"/>
              </m:rPr>
              <w:rPr>
                <w:rFonts w:ascii="Cambria Math" w:hAnsi="Cambria Math"/>
              </w:rPr>
              <m:t>i</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e>
        </m:nary>
      </m:oMath>
      <w:r>
        <w:t xml:space="preserve">                                         </w:t>
      </w:r>
      <w:r w:rsidR="006362D2">
        <w:t xml:space="preserve">  </w:t>
      </w:r>
      <w:r>
        <w:t xml:space="preserve">   (1)</w:t>
      </w:r>
    </w:p>
    <w:p w14:paraId="554501E9" w14:textId="5A929637" w:rsidR="00070833" w:rsidRDefault="00C82EC5" w:rsidP="00070833">
      <w:pPr>
        <w:spacing w:line="240" w:lineRule="auto"/>
      </w:pPr>
      <w:r>
        <w:t>The entropy</w:t>
      </w:r>
      <w:r w:rsidR="00070833">
        <w:t xml:space="preserve"> </w:t>
      </w:r>
      <m:oMath>
        <m:r>
          <m:rPr>
            <m:sty m:val="p"/>
          </m:rPr>
          <w:rPr>
            <w:rFonts w:ascii="Cambria Math" w:hAnsi="Cambria Math"/>
          </w:rPr>
          <m:t>H(p)=-</m:t>
        </m:r>
        <m:nary>
          <m:naryPr>
            <m:chr m:val="∑"/>
            <m:limLoc m:val="undOvr"/>
            <m:supHide m:val="1"/>
            <m:ctrlPr>
              <w:rPr>
                <w:rFonts w:ascii="Cambria Math" w:hAnsi="Cambria Math"/>
                <w:iCs/>
              </w:rPr>
            </m:ctrlPr>
          </m:naryPr>
          <m:sub>
            <m:r>
              <m:rPr>
                <m:sty m:val="p"/>
              </m:rPr>
              <w:rPr>
                <w:rFonts w:ascii="Cambria Math" w:hAnsi="Cambria Math"/>
              </w:rPr>
              <m:t>i</m:t>
            </m:r>
          </m:sub>
          <m:sup/>
          <m:e>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 xml:space="preserve"> ln(</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e>
        </m:nary>
      </m:oMath>
      <w:r w:rsidR="00070833">
        <w:t xml:space="preserve"> </w:t>
      </w:r>
      <w:r>
        <w:t>measures</w:t>
      </w:r>
      <w:r w:rsidR="00070833">
        <w:t xml:space="preserve"> uncertainty about the state. When an information source </w:t>
      </w:r>
      <w:r w:rsidR="009C19E8">
        <w:t>M</w:t>
      </w:r>
      <w:r w:rsidR="00070833">
        <w:t xml:space="preserve"> is available, the </w:t>
      </w:r>
      <w:r w:rsidR="005D4086">
        <w:t xml:space="preserve">entropy </w:t>
      </w:r>
      <m:oMath>
        <m:r>
          <m:rPr>
            <m:sty m:val="p"/>
          </m:rPr>
          <w:rPr>
            <w:rFonts w:ascii="Cambria Math" w:hAnsi="Cambria Math"/>
          </w:rPr>
          <m:t>H(p|M)</m:t>
        </m:r>
      </m:oMath>
      <w:r w:rsidR="005D4086">
        <w:t xml:space="preserve"> and the </w:t>
      </w:r>
      <w:r w:rsidR="00070833">
        <w:t xml:space="preserve">expected </w:t>
      </w:r>
      <w:r>
        <w:t xml:space="preserve">log </w:t>
      </w:r>
      <w:r w:rsidR="00070833">
        <w:t xml:space="preserve">return </w:t>
      </w:r>
      <m:oMath>
        <m:r>
          <m:rPr>
            <m:sty m:val="p"/>
          </m:rPr>
          <w:rPr>
            <w:rFonts w:ascii="Cambria Math" w:hAnsi="Cambria Math"/>
          </w:rPr>
          <m:t>E(r|M)</m:t>
        </m:r>
      </m:oMath>
      <w:r w:rsidR="005D4086">
        <w:t xml:space="preserve"> are computed conditional on the information signals </w:t>
      </w:r>
      <w:r w:rsidR="002E1FC8">
        <w:t>M</w:t>
      </w:r>
      <w:r w:rsidR="005D4086">
        <w:t xml:space="preserve"> provides. </w:t>
      </w:r>
      <w:r w:rsidR="00070833">
        <w:t>The increase in expected log</w:t>
      </w:r>
      <w:r w:rsidR="002E1FC8">
        <w:t>-</w:t>
      </w:r>
      <w:r w:rsidR="00070833">
        <w:t xml:space="preserve">return due to </w:t>
      </w:r>
      <w:r w:rsidR="002E1FC8">
        <w:t>M</w:t>
      </w:r>
      <w:r w:rsidR="00070833">
        <w:t xml:space="preserve"> equals to the reduction of uncertainty. </w:t>
      </w:r>
    </w:p>
    <w:p w14:paraId="536725D4" w14:textId="65B641A5" w:rsidR="00070833" w:rsidRPr="00FD2670" w:rsidRDefault="00070833" w:rsidP="00070833">
      <w:pPr>
        <w:spacing w:line="240" w:lineRule="auto"/>
      </w:pPr>
      <w:r>
        <w:t xml:space="preserve">                                                    </w:t>
      </w:r>
      <m:oMath>
        <m:r>
          <m:rPr>
            <m:sty m:val="p"/>
          </m:rPr>
          <w:rPr>
            <w:rFonts w:ascii="Cambria Math" w:hAnsi="Cambria Math"/>
          </w:rPr>
          <m:t>E(r|M)-E(r)=H(p)-H(p|M)</m:t>
        </m:r>
      </m:oMath>
      <w:r w:rsidRPr="00C82EC5">
        <w:rPr>
          <w:iCs/>
        </w:rPr>
        <w:t xml:space="preserve">                                                              </w:t>
      </w:r>
      <w:r w:rsidR="006362D2">
        <w:rPr>
          <w:iCs/>
        </w:rPr>
        <w:t xml:space="preserve"> </w:t>
      </w:r>
      <w:r w:rsidRPr="00C82EC5">
        <w:rPr>
          <w:iCs/>
        </w:rPr>
        <w:t xml:space="preserve">    </w:t>
      </w:r>
      <w:r>
        <w:t>(2)</w:t>
      </w:r>
    </w:p>
    <w:p w14:paraId="37231C38" w14:textId="522ED822" w:rsidR="00070833" w:rsidRDefault="00070833" w:rsidP="00070833">
      <w:pPr>
        <w:spacing w:line="240" w:lineRule="auto"/>
      </w:pPr>
      <w:r>
        <w:t xml:space="preserve">This establishes the equivalence between the decision frame and the information frame. </w:t>
      </w:r>
    </w:p>
    <w:p w14:paraId="7F4FB7E5" w14:textId="55C72D95" w:rsidR="0047288A" w:rsidRDefault="0047288A" w:rsidP="0047288A">
      <w:pPr>
        <w:spacing w:line="240" w:lineRule="auto"/>
        <w:ind w:firstLine="720"/>
      </w:pPr>
      <w:r>
        <w:t xml:space="preserve">In the accounting frame, </w:t>
      </w:r>
      <w:r w:rsidR="00B87011">
        <w:t>g</w:t>
      </w:r>
      <w:r w:rsidR="00982CC8">
        <w:t xml:space="preserve">eometric mean valuation (Hakansson, 1971) is the accounting method </w:t>
      </w:r>
      <w:r w:rsidR="00B84EEC">
        <w:t xml:space="preserve">under which the expected log return is maximized. </w:t>
      </w:r>
      <w:r>
        <w:t xml:space="preserve">Under this method, the beginning book value is the initial wealth, </w:t>
      </w:r>
      <m:oMath>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0</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0</m:t>
            </m:r>
          </m:sub>
        </m:sSub>
      </m:oMath>
      <w:r>
        <w:t xml:space="preserve">. The end-of-period book value is written as in (3). </w:t>
      </w:r>
    </w:p>
    <w:p w14:paraId="304ECC18" w14:textId="2066ABC9" w:rsidR="0047288A" w:rsidRDefault="0047288A" w:rsidP="0047288A">
      <w:pPr>
        <w:spacing w:line="240" w:lineRule="auto"/>
      </w:pPr>
      <w:r>
        <w:t xml:space="preserve">                                                        </w:t>
      </w:r>
      <m:oMath>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0</m:t>
            </m:r>
          </m:sub>
        </m:sSub>
        <m:r>
          <m:rPr>
            <m:sty m:val="p"/>
          </m:rPr>
          <w:rPr>
            <w:rFonts w:ascii="Cambria Math" w:hAnsi="Cambria Math"/>
          </w:rPr>
          <m:t>×</m:t>
        </m:r>
        <m:sSup>
          <m:sSupPr>
            <m:ctrlPr>
              <w:rPr>
                <w:rFonts w:ascii="Cambria Math" w:hAnsi="Cambria Math"/>
                <w:iCs/>
              </w:rPr>
            </m:ctrlPr>
          </m:sSupPr>
          <m:e>
            <m:r>
              <m:rPr>
                <m:sty m:val="p"/>
              </m:rPr>
              <w:rPr>
                <w:rFonts w:ascii="Cambria Math" w:hAnsi="Cambria Math"/>
              </w:rPr>
              <m:t>e</m:t>
            </m:r>
          </m:e>
          <m:sup>
            <m:r>
              <m:rPr>
                <m:sty m:val="p"/>
              </m:rPr>
              <w:rPr>
                <w:rFonts w:ascii="Cambria Math" w:hAnsi="Cambria Math"/>
              </w:rPr>
              <m:t>E(r|M)</m:t>
            </m:r>
          </m:sup>
        </m:sSup>
      </m:oMath>
      <w:r>
        <w:t xml:space="preserve">                                                                                       (3)</w:t>
      </w:r>
    </w:p>
    <w:p w14:paraId="59F890F4" w14:textId="2C051F19" w:rsidR="0047288A" w:rsidRDefault="0047288A" w:rsidP="0047288A">
      <w:pPr>
        <w:spacing w:line="240" w:lineRule="auto"/>
      </w:pPr>
      <w:r>
        <w:t xml:space="preserve">Income is the change in book value, </w:t>
      </w:r>
      <m:oMath>
        <m:r>
          <m:rPr>
            <m:sty m:val="p"/>
          </m:rPr>
          <w:rPr>
            <w:rFonts w:ascii="Cambria Math" w:hAnsi="Cambria Math"/>
          </w:rPr>
          <m:t xml:space="preserve">Income = </m:t>
        </m:r>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0</m:t>
            </m:r>
          </m:sub>
        </m:sSub>
      </m:oMath>
      <w:r w:rsidRPr="00982CC8">
        <w:rPr>
          <w:iCs/>
        </w:rPr>
        <w:t>,</w:t>
      </w:r>
      <w:r>
        <w:t xml:space="preserve"> establishing the equivalence between the decision frame and the accounting frame.  </w:t>
      </w:r>
    </w:p>
    <w:p w14:paraId="2FDDD17C" w14:textId="1DD8FAF0" w:rsidR="0047288A" w:rsidRDefault="0047288A" w:rsidP="0047288A">
      <w:pPr>
        <w:spacing w:line="240" w:lineRule="auto"/>
      </w:pPr>
      <w:r>
        <w:t xml:space="preserve">                                                        </w:t>
      </w:r>
      <m:oMath>
        <m:r>
          <m:rPr>
            <m:sty m:val="p"/>
          </m:rPr>
          <w:rPr>
            <w:rFonts w:ascii="Cambria Math" w:hAnsi="Cambria Math"/>
          </w:rPr>
          <m:t>E(r|M)=ln(1+</m:t>
        </m:r>
        <m:f>
          <m:fPr>
            <m:ctrlPr>
              <w:rPr>
                <w:rFonts w:ascii="Cambria Math" w:hAnsi="Cambria Math"/>
                <w:iCs/>
              </w:rPr>
            </m:ctrlPr>
          </m:fPr>
          <m:num>
            <m:r>
              <m:rPr>
                <m:sty m:val="p"/>
              </m:rPr>
              <w:rPr>
                <w:rFonts w:ascii="Cambria Math" w:hAnsi="Cambria Math"/>
              </w:rPr>
              <m:t>Income</m:t>
            </m:r>
          </m:num>
          <m:den>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0</m:t>
                </m:r>
              </m:sub>
            </m:sSub>
          </m:den>
        </m:f>
        <m:r>
          <m:rPr>
            <m:sty m:val="p"/>
          </m:rPr>
          <w:rPr>
            <w:rFonts w:ascii="Cambria Math" w:hAnsi="Cambria Math"/>
          </w:rPr>
          <m:t>)</m:t>
        </m:r>
      </m:oMath>
      <w:r>
        <w:t xml:space="preserve">                                             </w:t>
      </w:r>
      <w:r w:rsidR="00B84EEC">
        <w:t xml:space="preserve"> </w:t>
      </w:r>
      <w:r>
        <w:t xml:space="preserve">                                 (4)               </w:t>
      </w:r>
    </w:p>
    <w:p w14:paraId="6BBA4AA6" w14:textId="09565AA7" w:rsidR="0047288A" w:rsidRDefault="00B84EEC" w:rsidP="0047288A">
      <w:pPr>
        <w:spacing w:line="240" w:lineRule="auto"/>
        <w:ind w:firstLine="720"/>
      </w:pPr>
      <w:r>
        <w:t xml:space="preserve">Combining </w:t>
      </w:r>
      <w:r w:rsidR="0047288A">
        <w:t>(2) and (4) establishes the three-framing equivalence: decision, information, and accounting.</w:t>
      </w:r>
      <w:r w:rsidR="009005E5">
        <w:rPr>
          <w:rStyle w:val="FootnoteReference"/>
        </w:rPr>
        <w:footnoteReference w:id="2"/>
      </w:r>
      <w:r w:rsidR="0047288A">
        <w:t xml:space="preserve">  </w:t>
      </w:r>
    </w:p>
    <w:p w14:paraId="64CEC2E1" w14:textId="736F3E58" w:rsidR="0047288A" w:rsidRDefault="0047288A" w:rsidP="0047288A">
      <w:pPr>
        <w:spacing w:line="240" w:lineRule="auto"/>
      </w:pPr>
      <w:r>
        <w:t xml:space="preserve">                                            </w:t>
      </w:r>
      <m:oMath>
        <m:r>
          <m:rPr>
            <m:sty m:val="p"/>
          </m:rPr>
          <w:rPr>
            <w:rFonts w:ascii="Cambria Math" w:hAnsi="Cambria Math"/>
          </w:rPr>
          <m:t>E(r|M)=E(r)+H(p)-H(p|M)=ln(1+</m:t>
        </m:r>
        <m:f>
          <m:fPr>
            <m:ctrlPr>
              <w:rPr>
                <w:rFonts w:ascii="Cambria Math" w:hAnsi="Cambria Math"/>
                <w:iCs/>
              </w:rPr>
            </m:ctrlPr>
          </m:fPr>
          <m:num>
            <m:r>
              <m:rPr>
                <m:sty m:val="p"/>
              </m:rPr>
              <w:rPr>
                <w:rFonts w:ascii="Cambria Math" w:hAnsi="Cambria Math"/>
              </w:rPr>
              <m:t>Income</m:t>
            </m:r>
          </m:num>
          <m:den>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0</m:t>
                </m:r>
              </m:sub>
            </m:sSub>
          </m:den>
        </m:f>
        <m:r>
          <m:rPr>
            <m:sty m:val="p"/>
          </m:rPr>
          <w:rPr>
            <w:rFonts w:ascii="Cambria Math" w:hAnsi="Cambria Math"/>
          </w:rPr>
          <m:t>)</m:t>
        </m:r>
      </m:oMath>
      <w:r w:rsidRPr="00B84EEC">
        <w:rPr>
          <w:iCs/>
        </w:rPr>
        <w:t xml:space="preserve"> </w:t>
      </w:r>
      <w:r>
        <w:t xml:space="preserve">      </w:t>
      </w:r>
      <w:r w:rsidR="00B84EEC">
        <w:t xml:space="preserve">   </w:t>
      </w:r>
      <w:r>
        <w:t xml:space="preserve">                                   (5)</w:t>
      </w:r>
    </w:p>
    <w:p w14:paraId="6B172640" w14:textId="00042CAE" w:rsidR="0047288A" w:rsidRDefault="0047288A" w:rsidP="0047288A">
      <w:pPr>
        <w:spacing w:line="240" w:lineRule="auto"/>
      </w:pPr>
      <w:r>
        <w:t>As Fellingham et al</w:t>
      </w:r>
      <w:r w:rsidR="00A4429C">
        <w:t>.</w:t>
      </w:r>
      <w:r>
        <w:t xml:space="preserve"> (2022) demonstrate, the equivalence in (5) extends to settings with quantum probabilities. Under classical probabilities, the conditional probabilities in </w:t>
      </w:r>
      <m:oMath>
        <m:r>
          <m:rPr>
            <m:sty m:val="p"/>
          </m:rPr>
          <w:rPr>
            <w:rFonts w:ascii="Cambria Math" w:hAnsi="Cambria Math"/>
          </w:rPr>
          <m:t>H(p|M)</m:t>
        </m:r>
      </m:oMath>
      <w:r>
        <w:t xml:space="preserve"> correspond to Bayesian updating of beliefs. With quantum probabilities, the conditional probabilities reflect state revisions induced by measurement outcomes and described by quantum information theory. </w:t>
      </w:r>
    </w:p>
    <w:p w14:paraId="72235065" w14:textId="5BF5504B" w:rsidR="0047288A" w:rsidRDefault="0047288A" w:rsidP="0047288A">
      <w:pPr>
        <w:spacing w:line="240" w:lineRule="auto"/>
      </w:pPr>
      <w:r>
        <w:tab/>
        <w:t xml:space="preserve">This equivalence result implies that making decisions and acquiring information are equivalent activities. The quality of decisions fundamentally depends on the amount of information available. In the accounting frame, income and book value form a dual structure. Under the double-entry system, journal entries do not merely duplicate entries; they simultaneously record changes in net assets and the economic sources of these changes. Information is transmitted through the structured relations between accounts. </w:t>
      </w:r>
      <w:r w:rsidR="006362D2">
        <w:t>T</w:t>
      </w:r>
      <w:r>
        <w:t>he double-entry system functions as an information</w:t>
      </w:r>
      <w:r w:rsidR="00FC1523">
        <w:t>-</w:t>
      </w:r>
      <w:r>
        <w:t xml:space="preserve">processing architecture that encodes, updates, and communicates </w:t>
      </w:r>
      <w:r w:rsidR="00BA00BF">
        <w:t>economic activities</w:t>
      </w:r>
      <w:r>
        <w:t xml:space="preserve">. </w:t>
      </w:r>
    </w:p>
    <w:p w14:paraId="6B53CDA8" w14:textId="731BEA2F" w:rsidR="0027156B" w:rsidRDefault="000E02F6" w:rsidP="00F22F4B">
      <w:pPr>
        <w:spacing w:line="240" w:lineRule="auto"/>
      </w:pPr>
      <w:r>
        <w:tab/>
        <w:t xml:space="preserve">The equivalence between the accounting frame and the information frame further suggests that accounting numbers </w:t>
      </w:r>
      <w:r w:rsidR="00F22F4B">
        <w:t xml:space="preserve">are directly linked to the probabilistic structure of the underlying economic environment. </w:t>
      </w:r>
      <w:r w:rsidR="00CB1D55">
        <w:t xml:space="preserve">Importantly, this connection </w:t>
      </w:r>
      <w:r w:rsidR="00637282">
        <w:t xml:space="preserve">persists even when </w:t>
      </w:r>
      <w:r w:rsidR="0027156B">
        <w:t xml:space="preserve">the probabilistic structure changes. The double-entry system can process information that obeys classical probability rules such as Bayes’ rule </w:t>
      </w:r>
      <w:r w:rsidR="0027156B">
        <w:lastRenderedPageBreak/>
        <w:t>(Fellingham, 2017).</w:t>
      </w:r>
      <w:r w:rsidR="0027156B">
        <w:rPr>
          <w:rStyle w:val="FootnoteReference"/>
        </w:rPr>
        <w:footnoteReference w:id="3"/>
      </w:r>
      <w:r w:rsidR="0027156B">
        <w:t xml:space="preserve"> Information governed by quantum probability rules may also be processed within the same system. The question then becomes how quantum information can be represented and processed within the double-entry framework. We address this question in the next section. </w:t>
      </w:r>
    </w:p>
    <w:p w14:paraId="435A7E64" w14:textId="77777777" w:rsidR="0047288A" w:rsidRDefault="0047288A" w:rsidP="0047288A">
      <w:pPr>
        <w:spacing w:line="240" w:lineRule="auto"/>
      </w:pPr>
    </w:p>
    <w:p w14:paraId="75A415D9" w14:textId="21EB606A" w:rsidR="008007F0" w:rsidRPr="00987BFC" w:rsidRDefault="007C01CE" w:rsidP="008007F0">
      <w:pPr>
        <w:spacing w:line="240" w:lineRule="auto"/>
        <w:rPr>
          <w:b/>
          <w:bCs/>
        </w:rPr>
      </w:pPr>
      <w:r>
        <w:rPr>
          <w:b/>
          <w:bCs/>
        </w:rPr>
        <w:t>2</w:t>
      </w:r>
      <w:r w:rsidR="008007F0" w:rsidRPr="00987BFC">
        <w:rPr>
          <w:b/>
          <w:bCs/>
        </w:rPr>
        <w:t>. Double-Entry Representation of Classical and Quantum Computing</w:t>
      </w:r>
    </w:p>
    <w:p w14:paraId="32E71301" w14:textId="77777777" w:rsidR="008007F0" w:rsidRDefault="008007F0" w:rsidP="008007F0">
      <w:pPr>
        <w:spacing w:line="240" w:lineRule="auto"/>
      </w:pPr>
      <w:r>
        <w:tab/>
        <w:t xml:space="preserve">As developed in Fellingham et al. (2025), the four fundamental postulates of quantum information theory (Nielsen and Chuang, 2000) can be represented using T-accounts and journal entries. In this section, we use these accounting representations to illustrate the core concepts and operations of quantum information theory. </w:t>
      </w:r>
    </w:p>
    <w:p w14:paraId="65D0D9DD" w14:textId="77777777" w:rsidR="008007F0" w:rsidRDefault="008007F0" w:rsidP="008007F0">
      <w:pPr>
        <w:spacing w:line="240" w:lineRule="auto"/>
      </w:pPr>
    </w:p>
    <w:p w14:paraId="1842DE96" w14:textId="0A55918C" w:rsidR="008007F0" w:rsidRPr="00A66195" w:rsidRDefault="007C01CE" w:rsidP="008007F0">
      <w:pPr>
        <w:spacing w:line="240" w:lineRule="auto"/>
        <w:rPr>
          <w:b/>
          <w:bCs/>
        </w:rPr>
      </w:pPr>
      <w:r>
        <w:rPr>
          <w:b/>
          <w:bCs/>
        </w:rPr>
        <w:t>2</w:t>
      </w:r>
      <w:r w:rsidR="008007F0" w:rsidRPr="00A66195">
        <w:rPr>
          <w:b/>
          <w:bCs/>
        </w:rPr>
        <w:t xml:space="preserve">.1 </w:t>
      </w:r>
      <w:r w:rsidR="008007F0">
        <w:rPr>
          <w:b/>
          <w:bCs/>
        </w:rPr>
        <w:t xml:space="preserve">Quantum states encoded in </w:t>
      </w:r>
      <w:r w:rsidR="00686A51">
        <w:rPr>
          <w:b/>
          <w:bCs/>
        </w:rPr>
        <w:t>T-</w:t>
      </w:r>
      <w:r w:rsidR="008007F0">
        <w:rPr>
          <w:b/>
          <w:bCs/>
        </w:rPr>
        <w:t>accounts</w:t>
      </w:r>
    </w:p>
    <w:p w14:paraId="5861D82A" w14:textId="67B58DA8" w:rsidR="008007F0" w:rsidRDefault="008007F0" w:rsidP="00896EE7">
      <w:pPr>
        <w:spacing w:line="240" w:lineRule="auto"/>
      </w:pPr>
      <w:r>
        <w:tab/>
        <w:t xml:space="preserve">The fundamental unit of quantum computing is the quantum bit (or qubit). A qubit has two basis states, state zero and state one. In the double-entry framework, these two basis states are represented by two types of accounts: account E representing state zero and account A representing state one. Both E and A have a debit balance of 1 (with 1 on the debit side and 0 on the credit side). </w:t>
      </w:r>
    </w:p>
    <w:p w14:paraId="3CAE9B86" w14:textId="77777777" w:rsidR="008007F0" w:rsidRDefault="008007F0" w:rsidP="008007F0">
      <w:pPr>
        <w:spacing w:line="240" w:lineRule="auto"/>
      </w:pPr>
    </w:p>
    <w:p w14:paraId="11913C79" w14:textId="45B09548" w:rsidR="008007F0" w:rsidRPr="00A66195" w:rsidRDefault="007C01CE" w:rsidP="008007F0">
      <w:pPr>
        <w:spacing w:line="240" w:lineRule="auto"/>
        <w:rPr>
          <w:b/>
          <w:bCs/>
        </w:rPr>
      </w:pPr>
      <w:r>
        <w:rPr>
          <w:b/>
          <w:bCs/>
        </w:rPr>
        <w:t>2</w:t>
      </w:r>
      <w:r w:rsidR="008007F0" w:rsidRPr="00A66195">
        <w:rPr>
          <w:b/>
          <w:bCs/>
        </w:rPr>
        <w:t>.</w:t>
      </w:r>
      <w:r w:rsidR="008007F0">
        <w:rPr>
          <w:b/>
          <w:bCs/>
        </w:rPr>
        <w:t>2</w:t>
      </w:r>
      <w:r w:rsidR="008007F0" w:rsidRPr="00A66195">
        <w:rPr>
          <w:b/>
          <w:bCs/>
        </w:rPr>
        <w:t xml:space="preserve"> </w:t>
      </w:r>
      <w:r w:rsidR="008007F0">
        <w:rPr>
          <w:b/>
          <w:bCs/>
        </w:rPr>
        <w:t>Quantum gates encoded in journal entries</w:t>
      </w:r>
    </w:p>
    <w:p w14:paraId="0BC9AACD" w14:textId="77777777" w:rsidR="008007F0" w:rsidRDefault="008007F0" w:rsidP="008007F0">
      <w:pPr>
        <w:spacing w:line="240" w:lineRule="auto"/>
      </w:pPr>
      <w:r>
        <w:tab/>
        <w:t>Quantum gates are operations that transform qubit states. These operations are unitary transformations, meaning they preserve the norm of the state vector and are reversible, so that no information is lost during the transformation. Conceptually, performing a quantum gate on a qubit can be thought of as performing the operation on each basis state separately and then combining the resulting states weighted by their amplitudes.</w:t>
      </w:r>
      <w:r w:rsidRPr="00062200">
        <w:t xml:space="preserve"> </w:t>
      </w:r>
      <w:r>
        <w:t xml:space="preserve">There are three types of fundamental single-qubit quantum operations: bit flip, phase flip, and phase shift. </w:t>
      </w:r>
    </w:p>
    <w:p w14:paraId="52AA40D4" w14:textId="77777777" w:rsidR="008007F0" w:rsidRDefault="008007F0" w:rsidP="008007F0">
      <w:pPr>
        <w:spacing w:line="240" w:lineRule="auto"/>
        <w:ind w:firstLine="720"/>
      </w:pPr>
      <w:r>
        <w:t>In the double-entry framework, quantum gates are represented by journal entries. A bit-flip gate (or X-gate) swaps the two basis states and is represented by a reclassification entry that moves the balance between E and A.</w:t>
      </w:r>
      <w:r>
        <w:rPr>
          <w:rStyle w:val="FootnoteReference"/>
        </w:rPr>
        <w:footnoteReference w:id="4"/>
      </w:r>
      <w:r>
        <w:t xml:space="preserve"> </w:t>
      </w:r>
    </w:p>
    <w:p w14:paraId="6885F45B" w14:textId="61565279" w:rsidR="008007F0" w:rsidRDefault="008007F0" w:rsidP="008007F0">
      <w:pPr>
        <w:spacing w:line="240" w:lineRule="auto"/>
        <w:ind w:left="2880" w:firstLine="720"/>
      </w:pPr>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X</m:t>
                </m:r>
              </m:e>
            </m:groupChr>
          </m:e>
        </m:box>
        <m:r>
          <m:rPr>
            <m:sty m:val="p"/>
          </m:rPr>
          <w:rPr>
            <w:rFonts w:ascii="Cambria Math" w:hAnsi="Cambria Math"/>
          </w:rPr>
          <m:t>A,  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X</m:t>
                </m:r>
              </m:e>
            </m:groupChr>
          </m:e>
        </m:box>
        <m:r>
          <m:rPr>
            <m:sty m:val="p"/>
          </m:rPr>
          <w:rPr>
            <w:rFonts w:ascii="Cambria Math" w:hAnsi="Cambria Math"/>
          </w:rPr>
          <m:t>E</m:t>
        </m:r>
      </m:oMath>
      <w:r>
        <w:t xml:space="preserve">   </w:t>
      </w:r>
      <w:r>
        <w:tab/>
      </w:r>
      <w:r>
        <w:tab/>
      </w:r>
      <w:r>
        <w:tab/>
      </w:r>
      <w:r>
        <w:tab/>
      </w:r>
      <w:r>
        <w:tab/>
      </w:r>
      <w:r w:rsidR="00DE44D1">
        <w:t xml:space="preserve">   </w:t>
      </w:r>
      <w:r>
        <w:t>(X-gate)</w:t>
      </w:r>
    </w:p>
    <w:p w14:paraId="75FC441C" w14:textId="5DF45619" w:rsidR="008007F0" w:rsidRDefault="008007F0" w:rsidP="008007F0">
      <w:pPr>
        <w:spacing w:line="240" w:lineRule="auto"/>
      </w:pPr>
      <w:r>
        <w:t xml:space="preserve">A phase-flip gate (or Z-gate) adds a minus sign to state one while leaving state zero unchanged. In accounting notation, it is represented by a revaluation entry that changes A between a debit balance and a credit balance while leaving E unchanged. Denote the account A with a credit balance of 1 by </w:t>
      </w:r>
      <m:oMath>
        <m:acc>
          <m:accPr>
            <m:ctrlPr>
              <w:rPr>
                <w:rFonts w:ascii="Cambria Math" w:hAnsi="Cambria Math"/>
                <w:iCs/>
              </w:rPr>
            </m:ctrlPr>
          </m:accPr>
          <m:e>
            <m:r>
              <m:rPr>
                <m:sty m:val="p"/>
              </m:rPr>
              <w:rPr>
                <w:rFonts w:ascii="Cambria Math" w:hAnsi="Cambria Math"/>
              </w:rPr>
              <m:t>A</m:t>
            </m:r>
          </m:e>
        </m:acc>
      </m:oMath>
      <w:r>
        <w:t>.</w:t>
      </w:r>
      <w:r>
        <w:rPr>
          <w:rStyle w:val="FootnoteReference"/>
        </w:rPr>
        <w:footnoteReference w:id="5"/>
      </w:r>
      <w:r>
        <w:t xml:space="preserve"> </w:t>
      </w:r>
    </w:p>
    <w:p w14:paraId="69CDEC71" w14:textId="10D58FF7" w:rsidR="008007F0" w:rsidRPr="004556E1" w:rsidRDefault="008007F0" w:rsidP="008007F0">
      <w:pPr>
        <w:spacing w:line="240" w:lineRule="auto"/>
      </w:pPr>
      <w:r>
        <w:lastRenderedPageBreak/>
        <w:t xml:space="preserve">                                                                         </w:t>
      </w:r>
      <m:oMath>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acc>
          <m:accPr>
            <m:ctrlPr>
              <w:rPr>
                <w:rFonts w:ascii="Cambria Math" w:hAnsi="Cambria Math"/>
                <w:iCs/>
              </w:rPr>
            </m:ctrlPr>
          </m:accPr>
          <m:e>
            <m:r>
              <m:rPr>
                <m:sty m:val="p"/>
              </m:rPr>
              <w:rPr>
                <w:rFonts w:ascii="Cambria Math" w:hAnsi="Cambria Math"/>
              </w:rPr>
              <m:t>A</m:t>
            </m:r>
          </m:e>
        </m:acc>
        <m:r>
          <m:rPr>
            <m:sty m:val="p"/>
          </m:rPr>
          <w:rPr>
            <w:rFonts w:ascii="Cambria Math" w:hAnsi="Cambria Math"/>
          </w:rPr>
          <m:t xml:space="preserve">,  </m:t>
        </m:r>
        <m:acc>
          <m:accPr>
            <m:ctrlPr>
              <w:rPr>
                <w:rFonts w:ascii="Cambria Math" w:hAnsi="Cambria Math"/>
                <w:iCs/>
              </w:rPr>
            </m:ctrlPr>
          </m:accPr>
          <m:e>
            <m:r>
              <m:rPr>
                <m:sty m:val="p"/>
              </m:rPr>
              <w:rPr>
                <w:rFonts w:ascii="Cambria Math" w:hAnsi="Cambria Math"/>
              </w:rPr>
              <m:t>A</m:t>
            </m:r>
          </m:e>
        </m:acc>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r>
          <m:rPr>
            <m:sty m:val="p"/>
          </m:rPr>
          <w:rPr>
            <w:rFonts w:ascii="Cambria Math" w:hAnsi="Cambria Math"/>
          </w:rPr>
          <m:t>A,  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r>
          <m:rPr>
            <m:sty m:val="p"/>
          </m:rPr>
          <w:rPr>
            <w:rFonts w:ascii="Cambria Math" w:hAnsi="Cambria Math"/>
          </w:rPr>
          <m:t>E</m:t>
        </m:r>
      </m:oMath>
      <w:r>
        <w:t xml:space="preserve">                                            </w:t>
      </w:r>
      <w:r w:rsidR="00E45014">
        <w:t xml:space="preserve">      </w:t>
      </w:r>
      <w:r>
        <w:t xml:space="preserve">  (Z-gate)</w:t>
      </w:r>
    </w:p>
    <w:p w14:paraId="1BF49813" w14:textId="0A8D8F01" w:rsidR="008007F0" w:rsidRDefault="008007F0" w:rsidP="008007F0">
      <w:pPr>
        <w:spacing w:line="240" w:lineRule="auto"/>
        <w:ind w:firstLine="720"/>
      </w:pPr>
      <w:r>
        <w:t xml:space="preserve">The phase-flip gate is a special case of the phase-shift gate. Whereas the phase-flip gate rotates a qubit by </w:t>
      </w:r>
      <m:oMath>
        <m:r>
          <m:rPr>
            <m:sty m:val="p"/>
          </m:rPr>
          <w:rPr>
            <w:rFonts w:ascii="Cambria Math" w:hAnsi="Cambria Math"/>
          </w:rPr>
          <m:t>π</m:t>
        </m:r>
      </m:oMath>
      <w:r>
        <w:t xml:space="preserve">, a phase-shift gate (or </w:t>
      </w:r>
      <m:oMath>
        <m:r>
          <m:rPr>
            <m:sty m:val="p"/>
          </m:rPr>
          <w:rPr>
            <w:rFonts w:ascii="Cambria Math" w:hAnsi="Cambria Math"/>
          </w:rPr>
          <m:t>θ</m:t>
        </m:r>
      </m:oMath>
      <w:r>
        <w:t xml:space="preserve">-gate) rotates a qubit by </w:t>
      </w:r>
      <m:oMath>
        <m:r>
          <m:rPr>
            <m:sty m:val="p"/>
          </m:rPr>
          <w:rPr>
            <w:rFonts w:ascii="Cambria Math" w:hAnsi="Cambria Math"/>
          </w:rPr>
          <m:t>θ&lt;π</m:t>
        </m:r>
      </m:oMath>
      <w:r>
        <w:t>. In accounting notation, a phase-shift gate is represented by a partial revaluation entry that either credit</w:t>
      </w:r>
      <w:r w:rsidR="006362D2">
        <w:t>s</w:t>
      </w:r>
      <w:r>
        <w:t xml:space="preserve"> A or debit</w:t>
      </w:r>
      <w:r w:rsidR="006362D2">
        <w:t>s</w:t>
      </w:r>
      <w:r>
        <w:t xml:space="preserve"> </w:t>
      </w:r>
      <m:oMath>
        <m:acc>
          <m:accPr>
            <m:ctrlPr>
              <w:rPr>
                <w:rFonts w:ascii="Cambria Math" w:hAnsi="Cambria Math"/>
                <w:iCs/>
              </w:rPr>
            </m:ctrlPr>
          </m:accPr>
          <m:e>
            <m:r>
              <m:rPr>
                <m:sty m:val="p"/>
              </m:rPr>
              <w:rPr>
                <w:rFonts w:ascii="Cambria Math" w:hAnsi="Cambria Math"/>
              </w:rPr>
              <m:t>A</m:t>
            </m:r>
          </m:e>
        </m:acc>
      </m:oMath>
      <w:r>
        <w:t xml:space="preserve"> by an amount equal to </w:t>
      </w:r>
      <m:oMath>
        <m:r>
          <m:rPr>
            <m:sty m:val="p"/>
          </m:rPr>
          <w:rPr>
            <w:rFonts w:ascii="Cambria Math" w:hAnsi="Cambria Math"/>
          </w:rPr>
          <m:t>2θ/π</m:t>
        </m:r>
      </m:oMath>
      <w:r>
        <w:t>.</w:t>
      </w:r>
      <w:r w:rsidR="00331D3D">
        <w:rPr>
          <w:rStyle w:val="FootnoteReference"/>
        </w:rPr>
        <w:footnoteReference w:id="6"/>
      </w:r>
      <w:r>
        <w:t xml:space="preserve"> For example, the T-gate rotates a qubit by </w:t>
      </w:r>
      <m:oMath>
        <m:f>
          <m:fPr>
            <m:ctrlPr>
              <w:rPr>
                <w:rFonts w:ascii="Cambria Math" w:hAnsi="Cambria Math"/>
                <w:iCs/>
              </w:rPr>
            </m:ctrlPr>
          </m:fPr>
          <m:num>
            <m:r>
              <m:rPr>
                <m:sty m:val="p"/>
              </m:rPr>
              <w:rPr>
                <w:rFonts w:ascii="Cambria Math" w:hAnsi="Cambria Math"/>
              </w:rPr>
              <m:t>π</m:t>
            </m:r>
          </m:num>
          <m:den>
            <m:r>
              <m:rPr>
                <m:sty m:val="p"/>
              </m:rPr>
              <w:rPr>
                <w:rFonts w:ascii="Cambria Math" w:hAnsi="Cambria Math"/>
              </w:rPr>
              <m:t>4</m:t>
            </m:r>
          </m:den>
        </m:f>
      </m:oMath>
      <w:r>
        <w:t xml:space="preserve"> and is thus represented by a revaluation entry of amount </w:t>
      </w:r>
      <m:oMath>
        <m:f>
          <m:fPr>
            <m:ctrlPr>
              <w:rPr>
                <w:rFonts w:ascii="Cambria Math" w:hAnsi="Cambria Math"/>
                <w:i/>
              </w:rPr>
            </m:ctrlPr>
          </m:fPr>
          <m:num>
            <m:r>
              <w:rPr>
                <w:rFonts w:ascii="Cambria Math" w:hAnsi="Cambria Math"/>
              </w:rPr>
              <m:t>1</m:t>
            </m:r>
          </m:num>
          <m:den>
            <m:r>
              <w:rPr>
                <w:rFonts w:ascii="Cambria Math" w:hAnsi="Cambria Math"/>
              </w:rPr>
              <m:t>2</m:t>
            </m:r>
          </m:den>
        </m:f>
      </m:oMath>
      <w:r>
        <w:t>, while the S-gate rotate</w:t>
      </w:r>
      <w:r w:rsidR="00A4429C">
        <w:t>s</w:t>
      </w:r>
      <w:r>
        <w:t xml:space="preserve"> a qubit by </w:t>
      </w:r>
      <m:oMath>
        <m:f>
          <m:fPr>
            <m:ctrlPr>
              <w:rPr>
                <w:rFonts w:ascii="Cambria Math" w:hAnsi="Cambria Math"/>
                <w:iCs/>
              </w:rPr>
            </m:ctrlPr>
          </m:fPr>
          <m:num>
            <m:r>
              <m:rPr>
                <m:sty m:val="p"/>
              </m:rPr>
              <w:rPr>
                <w:rFonts w:ascii="Cambria Math" w:hAnsi="Cambria Math"/>
              </w:rPr>
              <m:t>π</m:t>
            </m:r>
          </m:num>
          <m:den>
            <m:r>
              <m:rPr>
                <m:sty m:val="p"/>
              </m:rPr>
              <w:rPr>
                <w:rFonts w:ascii="Cambria Math" w:hAnsi="Cambria Math"/>
              </w:rPr>
              <m:t>2</m:t>
            </m:r>
          </m:den>
        </m:f>
      </m:oMath>
      <w:r>
        <w:t xml:space="preserve"> and thus is represented by a revaluation entry of amount 1.</w:t>
      </w:r>
      <w:r>
        <w:rPr>
          <w:rStyle w:val="FootnoteReference"/>
        </w:rPr>
        <w:footnoteReference w:id="7"/>
      </w:r>
      <w:r>
        <w:t xml:space="preserve"> These revaluation entries trace out a circular structure that mirrors the unit circle in the complex plane.  </w:t>
      </w:r>
    </w:p>
    <w:p w14:paraId="49306108" w14:textId="703AFB79" w:rsidR="00DE44D1" w:rsidRDefault="00992068" w:rsidP="00A60E62">
      <w:pPr>
        <w:spacing w:line="240" w:lineRule="auto"/>
        <w:ind w:firstLine="720"/>
        <w:rPr>
          <w:b/>
          <w:bCs/>
        </w:rPr>
      </w:pPr>
      <w:r>
        <w:t xml:space="preserve">More generally, quantum computation is fundamentally a process of vector transformation. The accounting notation preserves this feature by </w:t>
      </w:r>
      <w:r w:rsidR="00A60E62">
        <w:t xml:space="preserve">representing the basis vectors with </w:t>
      </w:r>
      <w:r>
        <w:t xml:space="preserve">T-accounts </w:t>
      </w:r>
      <w:r w:rsidR="00A60E62">
        <w:t xml:space="preserve">and vector transformation with </w:t>
      </w:r>
      <w:r>
        <w:t>journal entries. In this sense, the double-entry system</w:t>
      </w:r>
      <w:r w:rsidR="00A60E62">
        <w:t xml:space="preserve"> functions as </w:t>
      </w:r>
      <w:r>
        <w:t xml:space="preserve">an architecture for vector processing. </w:t>
      </w:r>
    </w:p>
    <w:p w14:paraId="15AFF304" w14:textId="77777777" w:rsidR="00DE44D1" w:rsidRDefault="00DE44D1" w:rsidP="008007F0">
      <w:pPr>
        <w:spacing w:line="240" w:lineRule="auto"/>
        <w:ind w:firstLine="720"/>
        <w:rPr>
          <w:b/>
          <w:bCs/>
        </w:rPr>
      </w:pPr>
    </w:p>
    <w:p w14:paraId="117ACF65" w14:textId="376767E0" w:rsidR="008007F0" w:rsidRPr="00A66195" w:rsidRDefault="007C01CE" w:rsidP="008007F0">
      <w:pPr>
        <w:spacing w:line="240" w:lineRule="auto"/>
        <w:rPr>
          <w:b/>
          <w:bCs/>
        </w:rPr>
      </w:pPr>
      <w:r>
        <w:rPr>
          <w:b/>
          <w:bCs/>
        </w:rPr>
        <w:t>2</w:t>
      </w:r>
      <w:r w:rsidR="008007F0" w:rsidRPr="00A66195">
        <w:rPr>
          <w:b/>
          <w:bCs/>
        </w:rPr>
        <w:t>.</w:t>
      </w:r>
      <w:r w:rsidR="008007F0">
        <w:rPr>
          <w:b/>
          <w:bCs/>
        </w:rPr>
        <w:t>3</w:t>
      </w:r>
      <w:r w:rsidR="008007F0" w:rsidRPr="00A66195">
        <w:rPr>
          <w:b/>
          <w:bCs/>
        </w:rPr>
        <w:t xml:space="preserve"> </w:t>
      </w:r>
      <w:r w:rsidR="008007F0">
        <w:rPr>
          <w:b/>
          <w:bCs/>
        </w:rPr>
        <w:t>Superposition encoded by the Hadamard gate</w:t>
      </w:r>
    </w:p>
    <w:p w14:paraId="2F731BE7" w14:textId="10B16CB9" w:rsidR="008007F0" w:rsidRDefault="008007F0" w:rsidP="008007F0">
      <w:pPr>
        <w:spacing w:line="240" w:lineRule="auto"/>
      </w:pPr>
      <w:r>
        <w:tab/>
        <w:t xml:space="preserve">A distinctive feature of quantum information is that a qubit can exist in superposition—a linear combination of the two basis states, </w:t>
      </w:r>
      <w:r w:rsidR="001A7C61">
        <w:t xml:space="preserve">E and A, </w:t>
      </w:r>
      <w:r w:rsidR="00AC1539">
        <w:t xml:space="preserve">whose </w:t>
      </w:r>
      <w:r>
        <w:t xml:space="preserve">coefficients are probability amplitudes. The Hadamard gate, when applied to a basis state, creates a superposition. To understand the concept of superposition, we begin with the Hadamard gate. </w:t>
      </w:r>
    </w:p>
    <w:p w14:paraId="6E0227F5" w14:textId="2288AEBA" w:rsidR="008007F0" w:rsidRDefault="008007F0" w:rsidP="008007F0">
      <w:pPr>
        <w:spacing w:line="240" w:lineRule="auto"/>
        <w:ind w:firstLine="720"/>
        <w:rPr>
          <w:iCs/>
        </w:rPr>
      </w:pPr>
      <w:r>
        <w:t>The Hadamard gate (or H-gate) is a single-qubit operation that conceptually c</w:t>
      </w:r>
      <w:r w:rsidR="001A7C61">
        <w:t xml:space="preserve">ould </w:t>
      </w:r>
      <w:r>
        <w:t xml:space="preserve">be viewed as combining the two single-qubit operations discussed </w:t>
      </w:r>
      <w:r w:rsidR="001A7C61">
        <w:t>in Section 2.2</w:t>
      </w:r>
      <w:r>
        <w:t>: the X-gate and the Z-gate.</w:t>
      </w:r>
      <w:r>
        <w:rPr>
          <w:rStyle w:val="FootnoteReference"/>
        </w:rPr>
        <w:footnoteReference w:id="8"/>
      </w:r>
      <w:r>
        <w:t xml:space="preserve"> In accounting notation, when the H-gate acts on E, the reclassification entry (X-gate) transforms E into A and the revaluation entry (Z-gate) leaves E in E. The resulting</w:t>
      </w:r>
      <w:r w:rsidR="00873C39">
        <w:t xml:space="preserve"> </w:t>
      </w:r>
      <w:r w:rsidR="00AC1539">
        <w:t>s</w:t>
      </w:r>
      <w:r>
        <w:t xml:space="preserve">uperposition </w:t>
      </w:r>
      <w:r w:rsidR="00AC1539">
        <w:t xml:space="preserve">state </w:t>
      </w:r>
      <w:r w:rsidR="00873C39">
        <w:t>i</w:t>
      </w:r>
      <w:r>
        <w:t xml:space="preserve">s the linear sum of these two transformations and is represented by stacking the two accounts, E and A, on top of each other, written as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Pr>
          <w:iCs/>
        </w:rPr>
        <w:t xml:space="preserve">. </w:t>
      </w:r>
    </w:p>
    <w:p w14:paraId="63C3E74D" w14:textId="77777777" w:rsidR="008007F0" w:rsidRDefault="008007F0" w:rsidP="008007F0">
      <w:pPr>
        <w:spacing w:line="240" w:lineRule="auto"/>
        <w:ind w:firstLine="720"/>
      </w:pPr>
      <w:r>
        <w:t xml:space="preserve">                                               </w:t>
      </w:r>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H</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r>
          <m:rPr>
            <m:sty m:val="p"/>
          </m:rPr>
          <w:rPr>
            <w:rFonts w:ascii="Cambria Math" w:hAnsi="Cambria Math"/>
          </w:rPr>
          <m:t>,   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H</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acc>
                <m:accPr>
                  <m:ctrlPr>
                    <w:rPr>
                      <w:rFonts w:ascii="Cambria Math" w:hAnsi="Cambria Math"/>
                      <w:iCs/>
                    </w:rPr>
                  </m:ctrlPr>
                </m:accPr>
                <m:e>
                  <m:r>
                    <m:rPr>
                      <m:sty m:val="p"/>
                    </m:rPr>
                    <w:rPr>
                      <w:rFonts w:ascii="Cambria Math" w:hAnsi="Cambria Math"/>
                    </w:rPr>
                    <m:t>A</m:t>
                  </m:r>
                </m:e>
              </m:acc>
            </m:e>
          </m:mr>
        </m:m>
      </m:oMath>
      <w:r w:rsidRPr="00335AF5">
        <w:rPr>
          <w:iCs/>
        </w:rPr>
        <w:t xml:space="preserve"> </w:t>
      </w:r>
      <w:r>
        <w:t xml:space="preserve">                                                                   (Hadamard Gate)</w:t>
      </w:r>
    </w:p>
    <w:p w14:paraId="480BDC6E" w14:textId="48F95346" w:rsidR="008D5E28" w:rsidRDefault="008007F0" w:rsidP="008007F0">
      <w:pPr>
        <w:spacing w:line="240" w:lineRule="auto"/>
        <w:rPr>
          <w:iCs/>
        </w:rPr>
      </w:pPr>
      <w:r>
        <w:rPr>
          <w:iCs/>
        </w:rPr>
        <w:t xml:space="preserve">Similarly, when the H-gate acts on account A, the reclassification entry transforms A into E and the revaluation entry transforms A into </w:t>
      </w:r>
      <m:oMath>
        <m:acc>
          <m:accPr>
            <m:ctrlPr>
              <w:rPr>
                <w:rFonts w:ascii="Cambria Math" w:hAnsi="Cambria Math"/>
              </w:rPr>
            </m:ctrlPr>
          </m:accPr>
          <m:e>
            <m:r>
              <m:rPr>
                <m:sty m:val="p"/>
              </m:rPr>
              <w:rPr>
                <w:rFonts w:ascii="Cambria Math" w:hAnsi="Cambria Math"/>
              </w:rPr>
              <m:t>A</m:t>
            </m:r>
          </m:e>
        </m:acc>
      </m:oMath>
      <w:r>
        <w:rPr>
          <w:iCs/>
        </w:rPr>
        <w:t>; the resulting superposition</w:t>
      </w:r>
      <w:r w:rsidR="00AC1539">
        <w:rPr>
          <w:iCs/>
        </w:rPr>
        <w:t xml:space="preserve"> state</w:t>
      </w:r>
      <w:r>
        <w:rPr>
          <w:iCs/>
        </w:rPr>
        <w:t xml:space="preserve"> is </w:t>
      </w:r>
      <m:oMath>
        <m:m>
          <m:mPr>
            <m:mcs>
              <m:mc>
                <m:mcPr>
                  <m:count m:val="1"/>
                  <m:mcJc m:val="center"/>
                </m:mcPr>
              </m:mc>
            </m:mcs>
            <m:ctrlPr>
              <w:rPr>
                <w:rFonts w:ascii="Cambria Math" w:hAnsi="Cambria Math"/>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oMath>
      <w:r>
        <w:rPr>
          <w:iCs/>
        </w:rPr>
        <w:t>.</w:t>
      </w:r>
    </w:p>
    <w:p w14:paraId="53ACBCA9" w14:textId="1EB4D791" w:rsidR="00280789" w:rsidRDefault="00234893" w:rsidP="00280789">
      <w:pPr>
        <w:spacing w:line="240" w:lineRule="auto"/>
        <w:ind w:firstLine="720"/>
        <w:rPr>
          <w:iCs/>
        </w:rPr>
      </w:pPr>
      <w:r>
        <w:rPr>
          <w:iCs/>
        </w:rPr>
        <w:t xml:space="preserve">The accounting notation provides an intuitive interpretation of superposition. </w:t>
      </w:r>
      <w:r w:rsidR="00C71954">
        <w:rPr>
          <w:iCs/>
        </w:rPr>
        <w:t xml:space="preserve">Applying the H-gate to a basis account produces </w:t>
      </w:r>
      <w:r w:rsidR="00FB4428">
        <w:rPr>
          <w:iCs/>
        </w:rPr>
        <w:t xml:space="preserve">stacked rows that preserve the </w:t>
      </w:r>
      <w:r w:rsidR="00211819">
        <w:rPr>
          <w:iCs/>
        </w:rPr>
        <w:t>effects of b</w:t>
      </w:r>
      <w:r w:rsidR="00FB4428">
        <w:rPr>
          <w:iCs/>
        </w:rPr>
        <w:t>oth the reclassification and</w:t>
      </w:r>
      <w:r w:rsidR="00211819">
        <w:rPr>
          <w:iCs/>
        </w:rPr>
        <w:t xml:space="preserve"> </w:t>
      </w:r>
      <w:r w:rsidR="00211819">
        <w:rPr>
          <w:iCs/>
        </w:rPr>
        <w:lastRenderedPageBreak/>
        <w:t xml:space="preserve">revaluation entries. </w:t>
      </w:r>
      <w:r w:rsidR="00724299">
        <w:rPr>
          <w:iCs/>
        </w:rPr>
        <w:t xml:space="preserve">Rather than </w:t>
      </w:r>
      <w:r w:rsidR="008D5E28">
        <w:rPr>
          <w:iCs/>
        </w:rPr>
        <w:t xml:space="preserve">reflecting </w:t>
      </w:r>
      <w:r w:rsidR="00724299">
        <w:rPr>
          <w:iCs/>
        </w:rPr>
        <w:t>one or the other,</w:t>
      </w:r>
      <w:r w:rsidR="00280789">
        <w:rPr>
          <w:iCs/>
        </w:rPr>
        <w:t xml:space="preserve"> the end-of-period account is in superposition. </w:t>
      </w:r>
      <w:r w:rsidR="00810D35">
        <w:rPr>
          <w:iCs/>
        </w:rPr>
        <w:t>Because accounts serve as the building blocks of financial statements,</w:t>
      </w:r>
      <w:r w:rsidR="00724299">
        <w:rPr>
          <w:iCs/>
        </w:rPr>
        <w:t xml:space="preserve"> the stacked rows c</w:t>
      </w:r>
      <w:r w:rsidR="00BD40BD">
        <w:rPr>
          <w:iCs/>
        </w:rPr>
        <w:t>an</w:t>
      </w:r>
      <w:r w:rsidR="00724299">
        <w:rPr>
          <w:iCs/>
        </w:rPr>
        <w:t xml:space="preserve"> be viewed as two end-of-period financial statements. Information is therefore no longer carried by a single account or a single financial statement, but jointly by multiple financial statements. </w:t>
      </w:r>
      <w:r w:rsidR="00280789">
        <w:rPr>
          <w:iCs/>
        </w:rPr>
        <w:t xml:space="preserve">In this sense, superposition allows information to be carried </w:t>
      </w:r>
      <w:r w:rsidR="00BD40BD">
        <w:rPr>
          <w:iCs/>
        </w:rPr>
        <w:t>by two f</w:t>
      </w:r>
      <w:r w:rsidR="00280789">
        <w:rPr>
          <w:iCs/>
        </w:rPr>
        <w:t>inancial statements</w:t>
      </w:r>
      <w:r w:rsidR="009E4792">
        <w:rPr>
          <w:iCs/>
        </w:rPr>
        <w:t xml:space="preserve"> simultaneously. </w:t>
      </w:r>
      <w:r w:rsidR="00280789">
        <w:rPr>
          <w:iCs/>
        </w:rPr>
        <w:t xml:space="preserve">  </w:t>
      </w:r>
    </w:p>
    <w:p w14:paraId="516A179F" w14:textId="77777777" w:rsidR="006D74ED" w:rsidRDefault="006D74ED" w:rsidP="008007F0">
      <w:pPr>
        <w:spacing w:line="240" w:lineRule="auto"/>
        <w:ind w:firstLine="720"/>
        <w:rPr>
          <w:iCs/>
        </w:rPr>
      </w:pPr>
    </w:p>
    <w:p w14:paraId="0DF4C678" w14:textId="0F25CC9F" w:rsidR="008007F0" w:rsidRPr="00A66195" w:rsidRDefault="007C01CE" w:rsidP="008007F0">
      <w:pPr>
        <w:spacing w:line="240" w:lineRule="auto"/>
        <w:rPr>
          <w:b/>
          <w:bCs/>
        </w:rPr>
      </w:pPr>
      <w:r>
        <w:rPr>
          <w:b/>
          <w:bCs/>
        </w:rPr>
        <w:t>2</w:t>
      </w:r>
      <w:r w:rsidR="008007F0" w:rsidRPr="00A66195">
        <w:rPr>
          <w:b/>
          <w:bCs/>
        </w:rPr>
        <w:t>.</w:t>
      </w:r>
      <w:r w:rsidR="008007F0">
        <w:rPr>
          <w:b/>
          <w:bCs/>
        </w:rPr>
        <w:t>4</w:t>
      </w:r>
      <w:r w:rsidR="008007F0" w:rsidRPr="00A66195">
        <w:rPr>
          <w:b/>
          <w:bCs/>
        </w:rPr>
        <w:t xml:space="preserve"> </w:t>
      </w:r>
      <w:r w:rsidR="008007F0">
        <w:rPr>
          <w:b/>
          <w:bCs/>
        </w:rPr>
        <w:t>Conditional operations</w:t>
      </w:r>
    </w:p>
    <w:p w14:paraId="026E9402" w14:textId="4618E6EA" w:rsidR="008007F0" w:rsidRDefault="008007F0" w:rsidP="008007F0">
      <w:pPr>
        <w:spacing w:line="240" w:lineRule="auto"/>
      </w:pPr>
      <w:r>
        <w:tab/>
        <w:t xml:space="preserve">We now extend the discussion to multi-qubit systems and conditional operations. A composite system consists of multiple qubits combined through the tensor product. In the double-entry framework, </w:t>
      </w:r>
      <w:r w:rsidR="009A234C">
        <w:t xml:space="preserve">a composite system is </w:t>
      </w:r>
      <w:r>
        <w:t xml:space="preserve">represented </w:t>
      </w:r>
      <w:r w:rsidR="009A234C">
        <w:t>by</w:t>
      </w:r>
      <w:r>
        <w:t xml:space="preserve"> </w:t>
      </w:r>
      <w:r w:rsidR="005867EA">
        <w:t xml:space="preserve">a </w:t>
      </w:r>
      <w:r>
        <w:t>concatenat</w:t>
      </w:r>
      <w:r w:rsidR="009A234C">
        <w:t>i</w:t>
      </w:r>
      <w:r w:rsidR="005867EA">
        <w:t xml:space="preserve">on of </w:t>
      </w:r>
      <w:r w:rsidR="009A234C">
        <w:t>accounts. F</w:t>
      </w:r>
      <w:r>
        <w:t>or example, EA denotes a two-</w:t>
      </w:r>
      <w:r w:rsidR="007327FE">
        <w:t xml:space="preserve">account system </w:t>
      </w:r>
      <w:r w:rsidR="004B3F0C">
        <w:t xml:space="preserve">in which </w:t>
      </w:r>
      <w:r>
        <w:t xml:space="preserve">the first </w:t>
      </w:r>
      <w:r w:rsidR="007327FE">
        <w:t>account</w:t>
      </w:r>
      <w:r>
        <w:t xml:space="preserve"> is in state E and the second</w:t>
      </w:r>
      <w:r w:rsidR="007327FE">
        <w:t xml:space="preserve"> is in state A. </w:t>
      </w:r>
      <w:r>
        <w:t xml:space="preserve">Similarly, </w:t>
      </w:r>
      <w:r w:rsidR="004B3F0C">
        <w:t xml:space="preserve">AEA </w:t>
      </w:r>
      <w:r>
        <w:t>denotes a three-</w:t>
      </w:r>
      <w:r w:rsidR="007327FE">
        <w:t>account</w:t>
      </w:r>
      <w:r>
        <w:t xml:space="preserve"> </w:t>
      </w:r>
      <w:r w:rsidR="007327FE">
        <w:t>system</w:t>
      </w:r>
      <w:r>
        <w:t xml:space="preserve"> </w:t>
      </w:r>
      <w:r w:rsidR="004B3F0C">
        <w:t xml:space="preserve">in which </w:t>
      </w:r>
      <w:r>
        <w:t xml:space="preserve">the first and the third </w:t>
      </w:r>
      <w:r w:rsidR="007327FE">
        <w:t xml:space="preserve">accounts </w:t>
      </w:r>
      <w:r>
        <w:t xml:space="preserve">are in state </w:t>
      </w:r>
      <w:r w:rsidR="004B3F0C">
        <w:t>A</w:t>
      </w:r>
      <w:r>
        <w:t xml:space="preserve"> and the second </w:t>
      </w:r>
      <w:r w:rsidR="007327FE">
        <w:t>account i</w:t>
      </w:r>
      <w:r>
        <w:t xml:space="preserve">s in state </w:t>
      </w:r>
      <w:r w:rsidR="004B3F0C">
        <w:t>E</w:t>
      </w:r>
      <w:r>
        <w:t xml:space="preserve">.  </w:t>
      </w:r>
    </w:p>
    <w:p w14:paraId="387E18FE" w14:textId="628FE7E1" w:rsidR="00175959" w:rsidRDefault="008007F0" w:rsidP="008007F0">
      <w:pPr>
        <w:spacing w:line="240" w:lineRule="auto"/>
      </w:pPr>
      <w:r>
        <w:tab/>
      </w:r>
      <w:r w:rsidR="00175959">
        <w:t xml:space="preserve">An example of </w:t>
      </w:r>
      <w:r w:rsidR="004B3F0C">
        <w:t>a</w:t>
      </w:r>
      <w:r w:rsidR="00175959">
        <w:t xml:space="preserve"> conditional operation is the </w:t>
      </w:r>
      <w:r>
        <w:t>Controlled-Not (CNOT) gate</w:t>
      </w:r>
      <w:r w:rsidR="004B3F0C">
        <w:t xml:space="preserve">, which </w:t>
      </w:r>
      <w:r>
        <w:t>acts on two qubits</w:t>
      </w:r>
      <w:r w:rsidR="00175959">
        <w:t>.</w:t>
      </w:r>
      <w:r>
        <w:t xml:space="preserve"> </w:t>
      </w:r>
      <w:r w:rsidR="00175959">
        <w:t>The CNOT</w:t>
      </w:r>
      <w:r w:rsidR="00862E07">
        <w:t xml:space="preserve"> </w:t>
      </w:r>
      <w:r w:rsidR="00175959">
        <w:t xml:space="preserve">gate </w:t>
      </w:r>
      <w:r>
        <w:t xml:space="preserve">flips the state of the target qubit when the control qubit is in state </w:t>
      </w:r>
      <w:r w:rsidR="00175959">
        <w:t>A</w:t>
      </w:r>
      <w:r>
        <w:t xml:space="preserve">. In accounting notation, the CNOT gate is represented </w:t>
      </w:r>
      <w:r w:rsidR="004B3F0C">
        <w:t xml:space="preserve">by </w:t>
      </w:r>
      <w:r>
        <w:t xml:space="preserve">a conditional reclassification entry. For example, </w:t>
      </w:r>
      <w:r w:rsidR="004B3F0C">
        <w:t>t</w:t>
      </w:r>
      <w:r w:rsidR="00175959">
        <w:t xml:space="preserve">he CNOT gate that uses the first account as </w:t>
      </w:r>
      <w:r w:rsidR="004B3F0C">
        <w:t xml:space="preserve">the </w:t>
      </w:r>
      <w:r w:rsidR="00175959">
        <w:t xml:space="preserve">control and the second account as </w:t>
      </w:r>
      <w:r w:rsidR="004B3F0C">
        <w:t xml:space="preserve">the </w:t>
      </w:r>
      <w:r w:rsidR="00175959">
        <w:t xml:space="preserve">target is denoted by </w:t>
      </w: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oMath>
      <w:r w:rsidR="009A234C">
        <w:t xml:space="preserve"> where the first subscript </w:t>
      </w:r>
      <w:r w:rsidR="004B3F0C">
        <w:t>denotes</w:t>
      </w:r>
      <w:r w:rsidR="009A234C">
        <w:t xml:space="preserve"> the control account and the second subscript </w:t>
      </w:r>
      <w:r w:rsidR="004B3F0C">
        <w:t>denotes</w:t>
      </w:r>
      <w:r w:rsidR="009A234C">
        <w:t xml:space="preserve"> the target account. </w:t>
      </w:r>
      <w:r w:rsidR="004B3F0C">
        <w:t xml:space="preserve">It transforms </w:t>
      </w:r>
      <w:r w:rsidR="009A234C">
        <w:t xml:space="preserve">the system </w:t>
      </w:r>
      <w:r w:rsidR="00175959">
        <w:t xml:space="preserve">AEA </w:t>
      </w:r>
      <w:r w:rsidR="004B3F0C">
        <w:t>i</w:t>
      </w:r>
      <w:r w:rsidR="00175959">
        <w:t>nto AAA</w:t>
      </w:r>
      <w:r w:rsidR="005867EA">
        <w:t xml:space="preserve"> because the first account is A and the second account is therefore reclassified from E to A</w:t>
      </w:r>
      <w:r w:rsidR="00175959">
        <w:t xml:space="preserve">. </w:t>
      </w:r>
    </w:p>
    <w:p w14:paraId="53CA1D3D" w14:textId="74DEF7A9" w:rsidR="008007F0" w:rsidRDefault="008007F0" w:rsidP="008007F0">
      <w:pPr>
        <w:spacing w:line="240" w:lineRule="auto"/>
      </w:pPr>
      <w:r>
        <w:t xml:space="preserve">                                                              </w:t>
      </w:r>
      <m:oMath>
        <m:r>
          <m:rPr>
            <m:sty m:val="p"/>
          </m:rPr>
          <w:rPr>
            <w:rFonts w:ascii="Cambria Math" w:hAnsi="Cambria Math"/>
          </w:rPr>
          <m:t>AEA</m:t>
        </m:r>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e>
            </m:groupChr>
          </m:e>
        </m:box>
        <m:r>
          <m:rPr>
            <m:sty m:val="p"/>
          </m:rPr>
          <w:rPr>
            <w:rFonts w:ascii="Cambria Math" w:hAnsi="Cambria Math"/>
          </w:rPr>
          <m:t>AAA</m:t>
        </m:r>
      </m:oMath>
      <w:r>
        <w:t xml:space="preserve">                                                                      (CNOT Gate)</w:t>
      </w:r>
    </w:p>
    <w:p w14:paraId="547C8A4F" w14:textId="361996DF" w:rsidR="006D74ED" w:rsidRDefault="00352201" w:rsidP="008007F0">
      <w:pPr>
        <w:spacing w:line="240" w:lineRule="auto"/>
        <w:rPr>
          <w:b/>
          <w:bCs/>
        </w:rPr>
      </w:pPr>
      <w:r>
        <w:rPr>
          <w:b/>
          <w:bCs/>
        </w:rPr>
        <w:t xml:space="preserve"> </w:t>
      </w:r>
    </w:p>
    <w:p w14:paraId="0BD08B6C" w14:textId="646BE44B" w:rsidR="008007F0" w:rsidRPr="000F7777" w:rsidRDefault="007C01CE" w:rsidP="008007F0">
      <w:pPr>
        <w:spacing w:line="240" w:lineRule="auto"/>
        <w:rPr>
          <w:b/>
          <w:bCs/>
        </w:rPr>
      </w:pPr>
      <w:r>
        <w:rPr>
          <w:b/>
          <w:bCs/>
        </w:rPr>
        <w:t>2</w:t>
      </w:r>
      <w:r w:rsidR="008007F0" w:rsidRPr="000F7777">
        <w:rPr>
          <w:b/>
          <w:bCs/>
        </w:rPr>
        <w:t>.</w:t>
      </w:r>
      <w:r w:rsidR="008007F0">
        <w:rPr>
          <w:b/>
          <w:bCs/>
        </w:rPr>
        <w:t>5</w:t>
      </w:r>
      <w:r w:rsidR="008007F0" w:rsidRPr="000F7777">
        <w:rPr>
          <w:b/>
          <w:bCs/>
        </w:rPr>
        <w:t xml:space="preserve"> </w:t>
      </w:r>
      <w:r w:rsidR="008007F0">
        <w:rPr>
          <w:b/>
          <w:bCs/>
        </w:rPr>
        <w:t xml:space="preserve">Universality of the double-entry representation </w:t>
      </w:r>
      <w:r w:rsidR="008007F0" w:rsidRPr="000F7777">
        <w:rPr>
          <w:b/>
          <w:bCs/>
        </w:rPr>
        <w:t xml:space="preserve"> </w:t>
      </w:r>
    </w:p>
    <w:p w14:paraId="27E1A19D" w14:textId="66E68012" w:rsidR="00AF149F" w:rsidRDefault="008007F0" w:rsidP="008007F0">
      <w:pPr>
        <w:spacing w:line="240" w:lineRule="auto"/>
      </w:pPr>
      <w:r>
        <w:tab/>
        <w:t xml:space="preserve">So far, we have developed a double-entry framework capable of representing both quantum states and </w:t>
      </w:r>
      <w:r w:rsidR="00765C61">
        <w:t xml:space="preserve">fundamental </w:t>
      </w:r>
      <w:r>
        <w:t>quantum operations. Within this framework, accounts and journal entries can be used to represent the Toffoli gate (Fellingham et al., 2025). The Toffoli gate is a three-qubit gate with two control qubits and one target qubit, and it flips the target qubit if and only if both control qubits are in state A.</w:t>
      </w:r>
      <w:r>
        <w:rPr>
          <w:rStyle w:val="FootnoteReference"/>
        </w:rPr>
        <w:footnoteReference w:id="9"/>
      </w:r>
      <w:r>
        <w:t xml:space="preserve"> </w:t>
      </w:r>
    </w:p>
    <w:p w14:paraId="3373F36D" w14:textId="1DC9DAD2" w:rsidR="008007F0" w:rsidRDefault="008007F0" w:rsidP="008007F0">
      <w:pPr>
        <w:spacing w:line="240" w:lineRule="auto"/>
        <w:ind w:firstLine="720"/>
      </w:pPr>
      <w:r>
        <w:t>The Toffoli gate is universal for classical reversible computation because it can simulate the NAND and FANOUT gates, which together are sufficient to implement any classical Boolean function. Moreover, Shi (2003) and Aharonov (20</w:t>
      </w:r>
      <w:r w:rsidR="00352201">
        <w:t>0</w:t>
      </w:r>
      <w:r>
        <w:t>3) showed that any quantum algorithm can be approximated to arbitrary accuracy using circuits composed of only the Toffoli and Hadamard gates. Since the double-entry system can encode both the Toffoli gate and the Hadamard gate, it follows that the double-entry system is universal for both classical and quantum computation.</w:t>
      </w:r>
      <w:r w:rsidR="00E45014">
        <w:rPr>
          <w:rStyle w:val="FootnoteReference"/>
        </w:rPr>
        <w:footnoteReference w:id="10"/>
      </w:r>
      <w:r>
        <w:t xml:space="preserve"> </w:t>
      </w:r>
    </w:p>
    <w:p w14:paraId="0889FAE9" w14:textId="77777777" w:rsidR="00753755" w:rsidRDefault="008007F0" w:rsidP="008007F0">
      <w:pPr>
        <w:spacing w:line="240" w:lineRule="auto"/>
        <w:ind w:firstLine="720"/>
      </w:pPr>
      <w:r>
        <w:lastRenderedPageBreak/>
        <w:t xml:space="preserve">This result suggests that the double-entry system, as a business language for over five centuries, has sufficient structural capacity to represent quantum information processing. </w:t>
      </w:r>
      <w:r w:rsidR="001F317E">
        <w:t>We conjecture that t</w:t>
      </w:r>
      <w:r>
        <w:t xml:space="preserve">his </w:t>
      </w:r>
      <w:r w:rsidR="001F317E">
        <w:t xml:space="preserve">capacity arises </w:t>
      </w:r>
      <w:r>
        <w:t xml:space="preserve">from the inherent symmetry and balance of debits and credits, </w:t>
      </w:r>
      <w:r w:rsidR="001F317E">
        <w:t xml:space="preserve">and </w:t>
      </w:r>
      <w:r>
        <w:t>the reversibility of journal entries</w:t>
      </w:r>
      <w:r w:rsidR="001F317E">
        <w:t xml:space="preserve">. These features preserve information </w:t>
      </w:r>
      <w:r>
        <w:t>through the recording process</w:t>
      </w:r>
      <w:r w:rsidR="001F317E">
        <w:t>, paralleling the conservation of information in quantum information processing</w:t>
      </w:r>
      <w:r>
        <w:t xml:space="preserve">. </w:t>
      </w:r>
    </w:p>
    <w:p w14:paraId="35357C7B" w14:textId="57EE481D" w:rsidR="00E8414E" w:rsidRDefault="007266F8" w:rsidP="008007F0">
      <w:pPr>
        <w:spacing w:line="240" w:lineRule="auto"/>
        <w:ind w:firstLine="720"/>
      </w:pPr>
      <w:r>
        <w:t>The superior</w:t>
      </w:r>
      <w:r w:rsidR="00DC08BE">
        <w:t>ity</w:t>
      </w:r>
      <w:r>
        <w:t xml:space="preserve"> of quantum computers over classical computers arises largely from entanglement.</w:t>
      </w:r>
      <w:r w:rsidR="00DC08BE">
        <w:t xml:space="preserve"> </w:t>
      </w:r>
      <w:r w:rsidR="00E8414E">
        <w:t xml:space="preserve">In the next section, we explore entanglement within the double-entry framework and </w:t>
      </w:r>
      <w:r w:rsidR="00B10956">
        <w:t xml:space="preserve">examine </w:t>
      </w:r>
      <w:r w:rsidR="00E8414E">
        <w:t xml:space="preserve">its role in information processing within organizations. </w:t>
      </w:r>
    </w:p>
    <w:p w14:paraId="412641AC" w14:textId="77777777" w:rsidR="008007F0" w:rsidRDefault="008007F0" w:rsidP="00F52061">
      <w:pPr>
        <w:spacing w:line="240" w:lineRule="auto"/>
        <w:rPr>
          <w:b/>
          <w:bCs/>
        </w:rPr>
      </w:pPr>
    </w:p>
    <w:p w14:paraId="049618BC" w14:textId="276EC12D" w:rsidR="007C01CE" w:rsidRDefault="007C01CE" w:rsidP="007C01CE">
      <w:pPr>
        <w:spacing w:line="240" w:lineRule="auto"/>
        <w:rPr>
          <w:b/>
          <w:bCs/>
        </w:rPr>
      </w:pPr>
      <w:r>
        <w:rPr>
          <w:b/>
          <w:bCs/>
        </w:rPr>
        <w:t>3. Entanglement and Information Processing in the Double-entry System</w:t>
      </w:r>
    </w:p>
    <w:p w14:paraId="0D3FA8A3" w14:textId="19C0F717" w:rsidR="007C01CE" w:rsidRDefault="007C01CE" w:rsidP="007C01CE">
      <w:pPr>
        <w:spacing w:line="240" w:lineRule="auto"/>
      </w:pPr>
      <w:r>
        <w:tab/>
        <w:t xml:space="preserve">In quantum information theory, entanglement is treated not merely as a mysterious feature of quantum mechanics, but as a physical resource for quantum information processing (Terhal et al., 2025). We </w:t>
      </w:r>
      <w:r w:rsidR="00862E07">
        <w:t>first</w:t>
      </w:r>
      <w:r>
        <w:t xml:space="preserve"> provide an accounting representation of entanglement. Our focus is on the maximally entangled two-qubit states known as Bell states. We then demonstrate how </w:t>
      </w:r>
      <w:r w:rsidR="00765C61">
        <w:t>entanglement (</w:t>
      </w:r>
      <w:r>
        <w:t>Bell states</w:t>
      </w:r>
      <w:r w:rsidR="00765C61">
        <w:t>)</w:t>
      </w:r>
      <w:r>
        <w:t xml:space="preserve"> function</w:t>
      </w:r>
      <w:r w:rsidR="00765C61">
        <w:t>s</w:t>
      </w:r>
      <w:r>
        <w:t xml:space="preserve"> as superior information-processing mechanism in several economic settings. </w:t>
      </w:r>
    </w:p>
    <w:p w14:paraId="5E351B80" w14:textId="77777777" w:rsidR="007C01CE" w:rsidRDefault="007C01CE" w:rsidP="007C01CE">
      <w:pPr>
        <w:spacing w:line="240" w:lineRule="auto"/>
      </w:pPr>
    </w:p>
    <w:p w14:paraId="366CF6BC" w14:textId="6E1AF955" w:rsidR="007C01CE" w:rsidRPr="00594616" w:rsidRDefault="007C01CE" w:rsidP="007C01CE">
      <w:pPr>
        <w:spacing w:line="240" w:lineRule="auto"/>
        <w:rPr>
          <w:b/>
          <w:bCs/>
        </w:rPr>
      </w:pPr>
      <w:r>
        <w:rPr>
          <w:b/>
          <w:bCs/>
        </w:rPr>
        <w:t>3</w:t>
      </w:r>
      <w:r w:rsidRPr="00594616">
        <w:rPr>
          <w:b/>
          <w:bCs/>
        </w:rPr>
        <w:t>.1. Representing entanglement in the double-entry framework</w:t>
      </w:r>
    </w:p>
    <w:p w14:paraId="0D426018" w14:textId="5022232A" w:rsidR="007C01CE" w:rsidRDefault="007C01CE" w:rsidP="007C01CE">
      <w:pPr>
        <w:spacing w:line="240" w:lineRule="auto"/>
      </w:pPr>
      <w:r>
        <w:tab/>
        <w:t>A Bell state can be generated from a two-qubit basis state in two steps. A two-qubit composite system has four basis states, written in accounting notation as EE, EA, AE, or AA. First, apply a Hadamard gate (</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oMath>
      <w:r w:rsidRPr="004A6873">
        <w:rPr>
          <w:iCs/>
        </w:rPr>
        <w:t>)</w:t>
      </w:r>
      <w:r w:rsidR="004A6873">
        <w:t xml:space="preserve"> developed in Section 2.3 </w:t>
      </w:r>
      <w:r>
        <w:t>to the first qubit</w:t>
      </w:r>
      <w:r w:rsidR="004A6873">
        <w:t xml:space="preserve">, creating a </w:t>
      </w:r>
      <w:r>
        <w:t>superposition</w:t>
      </w:r>
      <w:r w:rsidR="00AE538B">
        <w:t xml:space="preserve"> state</w:t>
      </w:r>
      <w:r>
        <w:t>. Second, apply a CNOT gate (</w:t>
      </w: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oMath>
      <w:r>
        <w:t>)</w:t>
      </w:r>
      <w:r w:rsidR="004A6873">
        <w:t xml:space="preserve"> developed in Section 2.4,</w:t>
      </w:r>
      <w:r>
        <w:t xml:space="preserve"> </w:t>
      </w:r>
      <w:r w:rsidR="004A6873">
        <w:t xml:space="preserve">using the </w:t>
      </w:r>
      <w:r>
        <w:t xml:space="preserve">first qubit as </w:t>
      </w:r>
      <w:r w:rsidR="004A6873">
        <w:t xml:space="preserve">the </w:t>
      </w:r>
      <w:r>
        <w:t>control</w:t>
      </w:r>
      <w:r w:rsidR="004A6873">
        <w:t xml:space="preserve"> qubit</w:t>
      </w:r>
      <w:r>
        <w:t xml:space="preserve"> and the second qubit as </w:t>
      </w:r>
      <w:r w:rsidR="004A6873">
        <w:t xml:space="preserve">the </w:t>
      </w:r>
      <w:r>
        <w:t>target</w:t>
      </w:r>
      <w:r w:rsidR="004A6873">
        <w:t xml:space="preserve"> qubit. This operation transforms the </w:t>
      </w:r>
      <w:r>
        <w:t>superposition</w:t>
      </w:r>
      <w:r w:rsidR="00992F06">
        <w:t xml:space="preserve"> state</w:t>
      </w:r>
      <w:r>
        <w:t xml:space="preserve"> into </w:t>
      </w:r>
      <w:r w:rsidR="004A6873">
        <w:t xml:space="preserve">an </w:t>
      </w:r>
      <w:r>
        <w:t>entangle</w:t>
      </w:r>
      <w:r w:rsidR="00992F06">
        <w:t>d state</w:t>
      </w:r>
      <w:r>
        <w:t xml:space="preserve">. For example, beginning with the basis state EE, the two-step procedure produces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Pr>
          <w:iCs/>
        </w:rPr>
        <w:t xml:space="preserve">, which is one of the four Bell states. </w:t>
      </w:r>
    </w:p>
    <w:p w14:paraId="466D2B5F" w14:textId="77777777" w:rsidR="007C01CE" w:rsidRDefault="007C01CE" w:rsidP="007C01CE">
      <w:pPr>
        <w:spacing w:line="240" w:lineRule="auto"/>
        <w:rPr>
          <w:iCs/>
        </w:rPr>
      </w:pPr>
      <w:r>
        <w:t xml:space="preserve">                                                                </w:t>
      </w:r>
      <m:oMath>
        <m:r>
          <m:rPr>
            <m:sty m:val="p"/>
          </m:rPr>
          <w:rPr>
            <w:rFonts w:ascii="Cambria Math" w:hAnsi="Cambria Math"/>
          </w:rPr>
          <m:t>EE</m:t>
        </m:r>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H</m:t>
                    </m:r>
                  </m:e>
                  <m:sub>
                    <m:r>
                      <w:rPr>
                        <w:rFonts w:ascii="Cambria Math" w:hAnsi="Cambria Math"/>
                      </w:rPr>
                      <m:t>1</m:t>
                    </m:r>
                  </m:sub>
                </m:sSub>
              </m:e>
            </m:groupChr>
          </m:e>
        </m:box>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AE</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e>
            </m:groupChr>
          </m:e>
        </m:box>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sidRPr="00FD58D4">
        <w:rPr>
          <w:iCs/>
        </w:rPr>
        <w:t xml:space="preserve">                                                                </w:t>
      </w:r>
      <w:r>
        <w:rPr>
          <w:iCs/>
        </w:rPr>
        <w:t xml:space="preserve">   </w:t>
      </w:r>
      <w:r w:rsidRPr="00FD58D4">
        <w:rPr>
          <w:iCs/>
        </w:rPr>
        <w:t>(Bell State)</w:t>
      </w:r>
    </w:p>
    <w:p w14:paraId="50E7C9D6" w14:textId="24AF4299" w:rsidR="00D22DA1" w:rsidRDefault="007C01CE" w:rsidP="00D22DA1">
      <w:pPr>
        <w:spacing w:line="240" w:lineRule="auto"/>
      </w:pPr>
      <w:r>
        <w:rPr>
          <w:iCs/>
        </w:rPr>
        <w:t xml:space="preserve">The remaining three Bell states are generated analogously by applying the same two-step procedure to the other basis states. </w:t>
      </w:r>
      <w:r w:rsidR="00992F06">
        <w:rPr>
          <w:iCs/>
        </w:rPr>
        <w:t xml:space="preserve">A </w:t>
      </w:r>
      <w:r>
        <w:rPr>
          <w:iCs/>
        </w:rPr>
        <w:t xml:space="preserve">Bell state </w:t>
      </w:r>
      <w:r w:rsidR="00992F06">
        <w:rPr>
          <w:iCs/>
        </w:rPr>
        <w:t xml:space="preserve">represents two accounts </w:t>
      </w:r>
      <w:r>
        <w:rPr>
          <w:iCs/>
        </w:rPr>
        <w:t xml:space="preserve">maximally entangled, meaning that neither </w:t>
      </w:r>
      <w:r w:rsidR="00992F06">
        <w:rPr>
          <w:iCs/>
        </w:rPr>
        <w:t xml:space="preserve">account </w:t>
      </w:r>
      <w:r>
        <w:rPr>
          <w:iCs/>
        </w:rPr>
        <w:t xml:space="preserve">can be fully described on its own. </w:t>
      </w:r>
      <w:r>
        <w:t xml:space="preserve">Together, the two </w:t>
      </w:r>
      <w:r w:rsidR="00992F06">
        <w:t>accounts</w:t>
      </w:r>
      <w:r>
        <w:t xml:space="preserve"> form a perfectly correlated structure. This is precisely the </w:t>
      </w:r>
      <w:r w:rsidR="00A26D33">
        <w:t xml:space="preserve">nonlocal </w:t>
      </w:r>
      <w:r>
        <w:t>nature of entanglement.</w:t>
      </w:r>
      <w:r w:rsidR="00FC3AFB">
        <w:rPr>
          <w:rStyle w:val="FootnoteReference"/>
        </w:rPr>
        <w:footnoteReference w:id="11"/>
      </w:r>
      <w:r>
        <w:t xml:space="preserve"> </w:t>
      </w:r>
    </w:p>
    <w:p w14:paraId="71749D55" w14:textId="264AC15F" w:rsidR="007C01CE" w:rsidRDefault="007C01CE" w:rsidP="00D22DA1">
      <w:pPr>
        <w:spacing w:line="240" w:lineRule="auto"/>
        <w:ind w:firstLine="720"/>
      </w:pPr>
      <w:r>
        <w:lastRenderedPageBreak/>
        <w:t xml:space="preserve">In accounting notation,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Pr>
          <w:iCs/>
        </w:rPr>
        <w:t xml:space="preserve"> represents an entangled state in which each </w:t>
      </w:r>
      <w:r w:rsidR="004F221E">
        <w:rPr>
          <w:iCs/>
        </w:rPr>
        <w:t>account</w:t>
      </w:r>
      <w:r>
        <w:rPr>
          <w:iCs/>
        </w:rPr>
        <w:t xml:space="preserve"> (each column) is in superposition. </w:t>
      </w:r>
      <w:r>
        <w:t xml:space="preserve">More importantly, the superposition state of the second </w:t>
      </w:r>
      <w:r w:rsidR="000B4619">
        <w:t>account</w:t>
      </w:r>
      <w:r>
        <w:t xml:space="preserve"> arises from its relationship with the first </w:t>
      </w:r>
      <w:r w:rsidR="000B4619">
        <w:t>account</w:t>
      </w:r>
      <w:r>
        <w:t xml:space="preserve">, which is itself in superposition. Consequently, the informational states of the two </w:t>
      </w:r>
      <w:r w:rsidR="000B4619">
        <w:t>account</w:t>
      </w:r>
      <w:r>
        <w:t xml:space="preserve">s cannot be described independently of one another. </w:t>
      </w:r>
      <w:r w:rsidR="008D63E8">
        <w:t>T</w:t>
      </w:r>
      <w:r>
        <w:t xml:space="preserve">he two </w:t>
      </w:r>
      <w:r w:rsidR="000B4619">
        <w:t>account</w:t>
      </w:r>
      <w:r>
        <w:t xml:space="preserve">s are entangled so that the information contained in the joint financial statements cannot be separately attributed to </w:t>
      </w:r>
      <w:r w:rsidR="008D63E8">
        <w:t xml:space="preserve">either account individually. </w:t>
      </w:r>
      <w:r>
        <w:t xml:space="preserve">  </w:t>
      </w:r>
    </w:p>
    <w:p w14:paraId="21C4B659" w14:textId="066F5D5C" w:rsidR="007C01CE" w:rsidRDefault="00201B74" w:rsidP="00201B74">
      <w:pPr>
        <w:spacing w:line="240" w:lineRule="auto"/>
        <w:ind w:firstLine="720"/>
      </w:pPr>
      <w:r>
        <w:t>Accounts can become entangled through a sequence of journal entries, in particular, the H-gate followed by the CNOT gate. Neither operation by itself can generate entanglement. In organizational settings, the two accounts may represent activities, departments, or units that are geographically or functionally separated. Bell states provide a convenient way to represent such nonlocal, nonseparable relationships. In a Bell state, the two accounts are not merely uncertain individually; rather, uncertainty is shared and linked across the</w:t>
      </w:r>
      <w:r>
        <w:t>m</w:t>
      </w:r>
      <w:r>
        <w:t xml:space="preserve">. </w:t>
      </w:r>
    </w:p>
    <w:p w14:paraId="1294408A" w14:textId="5E120C84" w:rsidR="007C01CE" w:rsidRDefault="007C01CE" w:rsidP="007C01CE">
      <w:pPr>
        <w:spacing w:line="240" w:lineRule="auto"/>
        <w:ind w:firstLine="720"/>
      </w:pPr>
      <w:r>
        <w:t xml:space="preserve">We next examine how </w:t>
      </w:r>
      <w:r w:rsidR="00E12EBD">
        <w:t>entanglement</w:t>
      </w:r>
      <w:r>
        <w:t xml:space="preserve"> serve</w:t>
      </w:r>
      <w:r w:rsidR="00E12EBD">
        <w:t>s</w:t>
      </w:r>
      <w:r>
        <w:t xml:space="preserve"> as superior information-processing mechanisms in three different settings</w:t>
      </w:r>
      <w:r w:rsidR="00AD130B">
        <w:t>: information transmission, coordination, and incentive contracting</w:t>
      </w:r>
      <w:r>
        <w:t xml:space="preserve">. </w:t>
      </w:r>
    </w:p>
    <w:p w14:paraId="5C7C9731" w14:textId="77777777" w:rsidR="007C01CE" w:rsidRDefault="007C01CE" w:rsidP="007C01CE">
      <w:pPr>
        <w:spacing w:line="240" w:lineRule="auto"/>
      </w:pPr>
    </w:p>
    <w:p w14:paraId="32C12152" w14:textId="676F0FD7" w:rsidR="007C01CE" w:rsidRPr="00594616" w:rsidRDefault="007C01CE" w:rsidP="007C01CE">
      <w:pPr>
        <w:spacing w:line="240" w:lineRule="auto"/>
        <w:rPr>
          <w:b/>
          <w:bCs/>
        </w:rPr>
      </w:pPr>
      <w:r>
        <w:rPr>
          <w:b/>
          <w:bCs/>
        </w:rPr>
        <w:t>3</w:t>
      </w:r>
      <w:r w:rsidRPr="00594616">
        <w:rPr>
          <w:b/>
          <w:bCs/>
        </w:rPr>
        <w:t>.2. Entanglement and channel capacity</w:t>
      </w:r>
    </w:p>
    <w:p w14:paraId="36281D8F" w14:textId="77777777" w:rsidR="007C01CE" w:rsidRDefault="007C01CE" w:rsidP="007C01CE">
      <w:pPr>
        <w:spacing w:line="240" w:lineRule="auto"/>
        <w:ind w:firstLine="720"/>
      </w:pPr>
      <w:r>
        <w:t xml:space="preserve">We first examine whether entanglement improves the information transmission capability of the double-entry system. This question parallels superdense coding in quantum information theory, where entanglement allows a sender to transmit more classical information than would otherwise be possible through operations on a single qubit. We show that a similar informational advantage arises in the double-entry system. </w:t>
      </w:r>
    </w:p>
    <w:p w14:paraId="3C02B777" w14:textId="664CC080" w:rsidR="007C01CE" w:rsidRDefault="007C01CE" w:rsidP="007C01CE">
      <w:pPr>
        <w:spacing w:line="240" w:lineRule="auto"/>
      </w:pPr>
      <w:r>
        <w:tab/>
        <w:t xml:space="preserve">An accounting system can be viewed as a communication channel. The manager (the sender) undertakes economic transactions based on private information and encodes those transactions as journal entries. The journal entries are the information-bearing messages transmitted through the accounting system. The end-of-period accounts are signals that the receiver decodes to obtain information. </w:t>
      </w:r>
    </w:p>
    <w:p w14:paraId="4F4512C4" w14:textId="77777777" w:rsidR="007C01CE" w:rsidRDefault="007C01CE" w:rsidP="007C01CE">
      <w:pPr>
        <w:spacing w:line="240" w:lineRule="auto"/>
      </w:pPr>
      <w:r>
        <w:tab/>
        <w:t>A central question is how much information can be transmitted through the double-entry system. Capacity is measured in bits: one-bit capacity means the channel can reliably distinguish between two possible messages, and two-bit capacity means it can distinguish among four possible messages. More specifically, we consider four possible messages represented by the following journal entries transmitted through the channel.</w:t>
      </w:r>
      <w:r>
        <w:rPr>
          <w:rStyle w:val="FootnoteReference"/>
        </w:rPr>
        <w:footnoteReference w:id="12"/>
      </w:r>
      <w:r>
        <w:t xml:space="preserve">  </w:t>
      </w:r>
    </w:p>
    <w:p w14:paraId="27EDCE6F" w14:textId="77777777" w:rsidR="007C01CE" w:rsidRDefault="007C01CE" w:rsidP="007C01CE">
      <w:pPr>
        <w:pStyle w:val="ListParagraph"/>
        <w:numPr>
          <w:ilvl w:val="0"/>
          <w:numId w:val="1"/>
        </w:numPr>
        <w:spacing w:line="240" w:lineRule="auto"/>
      </w:pPr>
      <w:r>
        <w:t xml:space="preserve">I: no economic transaction occurs, so the ending state is identical to the initial state. </w:t>
      </w:r>
    </w:p>
    <w:p w14:paraId="69153B02" w14:textId="77777777" w:rsidR="007C01CE" w:rsidRDefault="007C01CE" w:rsidP="007C01CE">
      <w:pPr>
        <w:pStyle w:val="ListParagraph"/>
        <w:numPr>
          <w:ilvl w:val="0"/>
          <w:numId w:val="1"/>
        </w:numPr>
        <w:spacing w:line="240" w:lineRule="auto"/>
      </w:pPr>
      <w:r>
        <w:t xml:space="preserve">X: the account is reclassified. </w:t>
      </w:r>
    </w:p>
    <w:p w14:paraId="6E85AEE4" w14:textId="3C659AC6" w:rsidR="007C01CE" w:rsidRDefault="007C01CE" w:rsidP="007C01CE">
      <w:pPr>
        <w:pStyle w:val="ListParagraph"/>
        <w:numPr>
          <w:ilvl w:val="0"/>
          <w:numId w:val="1"/>
        </w:numPr>
        <w:spacing w:line="240" w:lineRule="auto"/>
      </w:pPr>
      <w:r>
        <w:t xml:space="preserve">Z: </w:t>
      </w:r>
      <w:r w:rsidR="00540203">
        <w:t xml:space="preserve">only </w:t>
      </w:r>
      <w:r>
        <w:t>the A account is being revalued.</w:t>
      </w:r>
    </w:p>
    <w:p w14:paraId="199341A3" w14:textId="77777777" w:rsidR="007C01CE" w:rsidRDefault="007C01CE" w:rsidP="007C01CE">
      <w:pPr>
        <w:pStyle w:val="ListParagraph"/>
        <w:numPr>
          <w:ilvl w:val="0"/>
          <w:numId w:val="1"/>
        </w:numPr>
        <w:spacing w:line="240" w:lineRule="auto"/>
      </w:pPr>
      <w:r>
        <w:t xml:space="preserve">(X, Z): the account is first reclassified and then revalued. </w:t>
      </w:r>
    </w:p>
    <w:p w14:paraId="4149D7C4" w14:textId="37E5F08B" w:rsidR="007C01CE" w:rsidRDefault="007C01CE" w:rsidP="007C01CE">
      <w:pPr>
        <w:spacing w:line="240" w:lineRule="auto"/>
      </w:pPr>
      <w:r>
        <w:t xml:space="preserve">We then consider five cases in which the </w:t>
      </w:r>
      <w:r w:rsidR="000339ED">
        <w:t>organizational design specification</w:t>
      </w:r>
      <w:r>
        <w:t xml:space="preserve"> varies. </w:t>
      </w:r>
    </w:p>
    <w:p w14:paraId="48E753F8" w14:textId="35E273BE" w:rsidR="007C01CE" w:rsidRDefault="007C01CE" w:rsidP="007C01CE">
      <w:pPr>
        <w:pStyle w:val="ListParagraph"/>
        <w:numPr>
          <w:ilvl w:val="0"/>
          <w:numId w:val="3"/>
        </w:numPr>
        <w:spacing w:line="240" w:lineRule="auto"/>
        <w:ind w:left="720"/>
      </w:pPr>
      <w:r>
        <w:t xml:space="preserve">Case 1: one </w:t>
      </w:r>
      <w:r w:rsidR="000339ED">
        <w:t xml:space="preserve">account </w:t>
      </w:r>
      <w:r>
        <w:t xml:space="preserve">in the basis state E. </w:t>
      </w:r>
    </w:p>
    <w:p w14:paraId="6D8D1BCB" w14:textId="5F4DCEC6" w:rsidR="007C01CE" w:rsidRDefault="007C01CE" w:rsidP="007C01CE">
      <w:pPr>
        <w:pStyle w:val="ListParagraph"/>
        <w:numPr>
          <w:ilvl w:val="0"/>
          <w:numId w:val="3"/>
        </w:numPr>
        <w:spacing w:line="240" w:lineRule="auto"/>
        <w:ind w:left="720"/>
      </w:pPr>
      <w:r>
        <w:t xml:space="preserve">Case 2: one </w:t>
      </w:r>
      <w:r w:rsidR="000339ED">
        <w:t>account</w:t>
      </w:r>
      <w:r>
        <w:t xml:space="preserve"> in superposition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A</m:t>
              </m:r>
            </m:e>
          </m:mr>
        </m:m>
      </m:oMath>
      <w:r>
        <w:t>.</w:t>
      </w:r>
    </w:p>
    <w:p w14:paraId="59703E9E" w14:textId="0EA47895" w:rsidR="007C01CE" w:rsidRDefault="007C01CE" w:rsidP="007C01CE">
      <w:pPr>
        <w:pStyle w:val="ListParagraph"/>
        <w:numPr>
          <w:ilvl w:val="0"/>
          <w:numId w:val="3"/>
        </w:numPr>
        <w:spacing w:line="240" w:lineRule="auto"/>
        <w:ind w:left="720"/>
      </w:pPr>
      <w:r>
        <w:lastRenderedPageBreak/>
        <w:t xml:space="preserve">Case 3: two </w:t>
      </w:r>
      <w:r w:rsidR="000339ED">
        <w:t>accounts</w:t>
      </w:r>
      <w:r>
        <w:t xml:space="preserve"> in the basis state EE.</w:t>
      </w:r>
    </w:p>
    <w:p w14:paraId="421F279D" w14:textId="6223FBD8" w:rsidR="007C01CE" w:rsidRPr="00A25587" w:rsidRDefault="007C01CE" w:rsidP="007C01CE">
      <w:pPr>
        <w:pStyle w:val="ListParagraph"/>
        <w:numPr>
          <w:ilvl w:val="0"/>
          <w:numId w:val="3"/>
        </w:numPr>
        <w:spacing w:line="240" w:lineRule="auto"/>
        <w:ind w:left="720"/>
      </w:pPr>
      <w:r>
        <w:t xml:space="preserve">Case 4: two </w:t>
      </w:r>
      <w:r w:rsidR="001C68AE">
        <w:t>account</w:t>
      </w:r>
      <w:r>
        <w:t xml:space="preserve">s that are not linked, with the first </w:t>
      </w:r>
      <w:r w:rsidR="001C68AE">
        <w:t>account</w:t>
      </w:r>
      <w:r>
        <w:t xml:space="preserve"> in superposition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AE</m:t>
              </m:r>
            </m:e>
          </m:mr>
        </m:m>
      </m:oMath>
      <w:r>
        <w:rPr>
          <w:iCs/>
        </w:rPr>
        <w:t>.</w:t>
      </w:r>
    </w:p>
    <w:p w14:paraId="403F814F" w14:textId="1661EADF" w:rsidR="007C01CE" w:rsidRDefault="007C01CE" w:rsidP="007C01CE">
      <w:pPr>
        <w:pStyle w:val="ListParagraph"/>
        <w:numPr>
          <w:ilvl w:val="0"/>
          <w:numId w:val="3"/>
        </w:numPr>
        <w:spacing w:line="240" w:lineRule="auto"/>
        <w:ind w:left="720"/>
      </w:pPr>
      <w:r>
        <w:rPr>
          <w:iCs/>
        </w:rPr>
        <w:t xml:space="preserve">Case 5: two entangled </w:t>
      </w:r>
      <w:r w:rsidR="001C68AE">
        <w:rPr>
          <w:iCs/>
        </w:rPr>
        <w:t>account</w:t>
      </w:r>
      <w:r>
        <w:rPr>
          <w:iCs/>
        </w:rPr>
        <w:t xml:space="preserve">s in the Bell state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Pr>
          <w:iCs/>
        </w:rPr>
        <w:t xml:space="preserve">. </w:t>
      </w:r>
      <w:r>
        <w:t xml:space="preserve"> </w:t>
      </w:r>
    </w:p>
    <w:p w14:paraId="5F509448" w14:textId="3C5D319C" w:rsidR="007C01CE" w:rsidRDefault="007C01CE" w:rsidP="007C01CE">
      <w:pPr>
        <w:spacing w:line="240" w:lineRule="auto"/>
        <w:ind w:firstLine="360"/>
      </w:pPr>
      <w:r>
        <w:t>As shown in Antle et al</w:t>
      </w:r>
      <w:r w:rsidR="00A4429C">
        <w:t>.</w:t>
      </w:r>
      <w:r>
        <w:t xml:space="preserve"> (2026a), whether all four messages can be reliably distinguished depends on whether the </w:t>
      </w:r>
      <w:r w:rsidR="00540203">
        <w:t xml:space="preserve">organizational design specification </w:t>
      </w:r>
      <w:r>
        <w:t xml:space="preserve">is entangled. One-bit capacity is achieved in the first four cases. Two-bit capacity is achieved only in Case 5, where the </w:t>
      </w:r>
      <w:r w:rsidR="00540203">
        <w:t>design specification is a Bell state</w:t>
      </w:r>
      <w:r>
        <w:t xml:space="preserve">. To illustrate the mechanism, consider Case 5: applying the four journal entries to only the first </w:t>
      </w:r>
      <w:r w:rsidR="001C68AE">
        <w:t>account</w:t>
      </w:r>
      <w:r>
        <w:t xml:space="preserve"> (the first column) produces the following results. (The subscript 1 indicates that the operation is performed on the first </w:t>
      </w:r>
      <w:r w:rsidR="001C68AE">
        <w:t>account</w:t>
      </w:r>
      <w:r>
        <w:t>.)</w:t>
      </w:r>
    </w:p>
    <w:p w14:paraId="31556D2B" w14:textId="56CCC950" w:rsidR="007C01CE" w:rsidRPr="007B74F8" w:rsidRDefault="00000000" w:rsidP="007C01CE">
      <w:pPr>
        <w:spacing w:line="240" w:lineRule="auto"/>
        <w:ind w:left="2160" w:firstLine="720"/>
      </w:pP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1</m:t>
                    </m:r>
                  </m:sub>
                </m:sSub>
              </m:e>
            </m:groupChr>
          </m:e>
        </m:box>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sidR="007C01CE">
        <w:t xml:space="preserve">                                                                      </w:t>
      </w:r>
      <w:r w:rsidR="00FC3AFB">
        <w:t xml:space="preserve">  </w:t>
      </w:r>
      <w:r w:rsidR="007C01CE">
        <w:t xml:space="preserve">       (Case 5 – I)</w:t>
      </w:r>
    </w:p>
    <w:p w14:paraId="3549CA63" w14:textId="0BC8830F" w:rsidR="007C01CE" w:rsidRDefault="00000000" w:rsidP="007C01CE">
      <w:pPr>
        <w:spacing w:line="240" w:lineRule="auto"/>
        <w:ind w:left="2160" w:firstLine="720"/>
      </w:pP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e>
            </m:groupChr>
          </m:e>
        </m:box>
        <m:m>
          <m:mPr>
            <m:mcs>
              <m:mc>
                <m:mcPr>
                  <m:count m:val="1"/>
                  <m:mcJc m:val="center"/>
                </m:mcPr>
              </m:mc>
            </m:mcs>
            <m:ctrlPr>
              <w:rPr>
                <w:rFonts w:ascii="Cambria Math" w:hAnsi="Cambria Math"/>
                <w:iCs/>
              </w:rPr>
            </m:ctrlPr>
          </m:mPr>
          <m:mr>
            <m:e>
              <m:r>
                <m:rPr>
                  <m:sty m:val="p"/>
                </m:rPr>
                <w:rPr>
                  <w:rFonts w:ascii="Cambria Math" w:hAnsi="Cambria Math"/>
                </w:rPr>
                <m:t>AE</m:t>
              </m:r>
            </m:e>
          </m:mr>
          <m:mr>
            <m:e>
              <m:r>
                <m:rPr>
                  <m:sty m:val="p"/>
                </m:rPr>
                <w:rPr>
                  <w:rFonts w:ascii="Cambria Math" w:hAnsi="Cambria Math"/>
                </w:rPr>
                <m:t>EA</m:t>
              </m:r>
            </m:e>
          </m:mr>
        </m:m>
      </m:oMath>
      <w:r w:rsidR="007C01CE">
        <w:t xml:space="preserve">                                                                              </w:t>
      </w:r>
      <w:r w:rsidR="00540203">
        <w:t xml:space="preserve"> </w:t>
      </w:r>
      <w:r w:rsidR="007C01CE">
        <w:t xml:space="preserve">(Case 5 – X) </w:t>
      </w:r>
    </w:p>
    <w:p w14:paraId="6AE6018B" w14:textId="69684436" w:rsidR="007C01CE" w:rsidRPr="007B74F8" w:rsidRDefault="00000000" w:rsidP="007C01CE">
      <w:pPr>
        <w:spacing w:line="240" w:lineRule="auto"/>
        <w:ind w:left="2160" w:firstLine="720"/>
      </w:pP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e>
            </m:groupChr>
          </m:e>
        </m:box>
        <m:m>
          <m:mPr>
            <m:mcs>
              <m:mc>
                <m:mcPr>
                  <m:count m:val="1"/>
                  <m:mcJc m:val="center"/>
                </m:mcPr>
              </m:mc>
            </m:mcs>
            <m:ctrlPr>
              <w:rPr>
                <w:rFonts w:ascii="Cambria Math" w:hAnsi="Cambria Math"/>
                <w:iCs/>
              </w:rPr>
            </m:ctrlPr>
          </m:mPr>
          <m:mr>
            <m:e>
              <m:r>
                <m:rPr>
                  <m:sty m:val="p"/>
                </m:rPr>
                <w:rPr>
                  <w:rFonts w:ascii="Cambria Math" w:hAnsi="Cambria Math"/>
                </w:rPr>
                <m:t>EE</m:t>
              </m:r>
            </m:e>
          </m:mr>
          <m:mr>
            <m:e>
              <m:acc>
                <m:accPr>
                  <m:ctrlPr>
                    <w:rPr>
                      <w:rFonts w:ascii="Cambria Math" w:hAnsi="Cambria Math"/>
                      <w:iCs/>
                    </w:rPr>
                  </m:ctrlPr>
                </m:accPr>
                <m:e>
                  <m:r>
                    <m:rPr>
                      <m:sty m:val="p"/>
                    </m:rPr>
                    <w:rPr>
                      <w:rFonts w:ascii="Cambria Math" w:hAnsi="Cambria Math"/>
                    </w:rPr>
                    <m:t>A</m:t>
                  </m:r>
                </m:e>
              </m:acc>
              <m:r>
                <m:rPr>
                  <m:sty m:val="p"/>
                </m:rPr>
                <w:rPr>
                  <w:rFonts w:ascii="Cambria Math" w:hAnsi="Cambria Math"/>
                </w:rPr>
                <m:t>A</m:t>
              </m:r>
            </m:e>
          </m:mr>
        </m:m>
      </m:oMath>
      <w:r w:rsidR="007C01CE">
        <w:t xml:space="preserve">                                                                               (Case 5 – Z)</w:t>
      </w:r>
    </w:p>
    <w:p w14:paraId="14D61993" w14:textId="40A3CD1D" w:rsidR="007C01CE" w:rsidRDefault="00000000" w:rsidP="007C01CE">
      <w:pPr>
        <w:spacing w:line="240" w:lineRule="auto"/>
        <w:ind w:left="2160" w:firstLine="720"/>
      </w:pP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e>
            </m:groupChr>
          </m:e>
        </m:box>
        <m:m>
          <m:mPr>
            <m:mcs>
              <m:mc>
                <m:mcPr>
                  <m:count m:val="1"/>
                  <m:mcJc m:val="center"/>
                </m:mcPr>
              </m:mc>
            </m:mcs>
            <m:ctrlPr>
              <w:rPr>
                <w:rFonts w:ascii="Cambria Math" w:hAnsi="Cambria Math"/>
                <w:iCs/>
              </w:rPr>
            </m:ctrlPr>
          </m:mPr>
          <m:mr>
            <m:e>
              <m:r>
                <m:rPr>
                  <m:sty m:val="p"/>
                </m:rPr>
                <w:rPr>
                  <w:rFonts w:ascii="Cambria Math" w:hAnsi="Cambria Math"/>
                </w:rPr>
                <m:t>AE</m:t>
              </m:r>
            </m:e>
          </m:mr>
          <m:mr>
            <m:e>
              <m:r>
                <m:rPr>
                  <m:sty m:val="p"/>
                </m:rPr>
                <w:rPr>
                  <w:rFonts w:ascii="Cambria Math" w:hAnsi="Cambria Math"/>
                </w:rPr>
                <m:t>EA</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e>
            </m:groupChr>
          </m:e>
        </m:box>
        <m:m>
          <m:mPr>
            <m:mcs>
              <m:mc>
                <m:mcPr>
                  <m:count m:val="1"/>
                  <m:mcJc m:val="center"/>
                </m:mcPr>
              </m:mc>
            </m:mcs>
            <m:ctrlPr>
              <w:rPr>
                <w:rFonts w:ascii="Cambria Math" w:hAnsi="Cambria Math"/>
                <w:iCs/>
              </w:rPr>
            </m:ctrlPr>
          </m:mPr>
          <m:mr>
            <m:e>
              <m:acc>
                <m:accPr>
                  <m:ctrlPr>
                    <w:rPr>
                      <w:rFonts w:ascii="Cambria Math" w:hAnsi="Cambria Math"/>
                      <w:iCs/>
                    </w:rPr>
                  </m:ctrlPr>
                </m:accPr>
                <m:e>
                  <m:r>
                    <m:rPr>
                      <m:sty m:val="p"/>
                    </m:rPr>
                    <w:rPr>
                      <w:rFonts w:ascii="Cambria Math" w:hAnsi="Cambria Math"/>
                    </w:rPr>
                    <m:t>A</m:t>
                  </m:r>
                </m:e>
              </m:acc>
              <m:r>
                <m:rPr>
                  <m:sty m:val="p"/>
                </m:rPr>
                <w:rPr>
                  <w:rFonts w:ascii="Cambria Math" w:hAnsi="Cambria Math"/>
                </w:rPr>
                <m:t>E</m:t>
              </m:r>
            </m:e>
          </m:mr>
          <m:mr>
            <m:e>
              <m:r>
                <m:rPr>
                  <m:sty m:val="p"/>
                </m:rPr>
                <w:rPr>
                  <w:rFonts w:ascii="Cambria Math" w:hAnsi="Cambria Math"/>
                </w:rPr>
                <m:t>EA</m:t>
              </m:r>
            </m:e>
          </m:mr>
        </m:m>
      </m:oMath>
      <w:r w:rsidR="007C01CE">
        <w:t xml:space="preserve">                                                                  </w:t>
      </w:r>
      <w:r w:rsidR="00471F8C">
        <w:t xml:space="preserve"> </w:t>
      </w:r>
      <w:r w:rsidR="007C01CE">
        <w:t xml:space="preserve"> (Case 5 – (</w:t>
      </w:r>
      <w:proofErr w:type="gramStart"/>
      <w:r w:rsidR="007C01CE">
        <w:t>X,Z</w:t>
      </w:r>
      <w:proofErr w:type="gramEnd"/>
      <w:r w:rsidR="007C01CE">
        <w:t>))</w:t>
      </w:r>
    </w:p>
    <w:p w14:paraId="749FDB6A" w14:textId="725383DC" w:rsidR="007C01CE" w:rsidRDefault="007C01CE" w:rsidP="007C01CE">
      <w:pPr>
        <w:spacing w:line="240" w:lineRule="auto"/>
      </w:pPr>
      <w:r>
        <w:t xml:space="preserve">The four journal entries produce four distinct end-of-period </w:t>
      </w:r>
      <w:r w:rsidR="00D4602E">
        <w:t>accounts</w:t>
      </w:r>
      <w:r>
        <w:t xml:space="preserve">, so the channel achieves two-bit capacity. Because the receiver can uniquely identify which journal entry was transmitted, two bits of information can be communicated through operations on only the first </w:t>
      </w:r>
      <w:r w:rsidR="001C68AE">
        <w:t>account</w:t>
      </w:r>
      <w:r>
        <w:t>.</w:t>
      </w:r>
    </w:p>
    <w:p w14:paraId="33B1687F" w14:textId="2A9AE351" w:rsidR="007C01CE" w:rsidRDefault="007C01CE" w:rsidP="007C01CE">
      <w:pPr>
        <w:spacing w:line="240" w:lineRule="auto"/>
      </w:pPr>
      <w:r>
        <w:tab/>
        <w:t xml:space="preserve">Normally, one </w:t>
      </w:r>
      <w:r w:rsidR="001C68AE">
        <w:t>account</w:t>
      </w:r>
      <w:r>
        <w:t xml:space="preserve"> alone carries only one bit of information as Cases 1-4 demonstrate. In Case 5, however, only one </w:t>
      </w:r>
      <w:r w:rsidR="001C68AE">
        <w:t>account</w:t>
      </w:r>
      <w:r>
        <w:t xml:space="preserve"> is operated on, yet two bits are transmitted. The additional transmission capacity arises because the two </w:t>
      </w:r>
      <w:r w:rsidR="001C68AE">
        <w:t>account</w:t>
      </w:r>
      <w:r>
        <w:t xml:space="preserve">s are entangled: the informational structure of one </w:t>
      </w:r>
      <w:r w:rsidR="001C68AE">
        <w:t>account</w:t>
      </w:r>
      <w:r>
        <w:t xml:space="preserve"> is linked to the informational structure of the other.  </w:t>
      </w:r>
    </w:p>
    <w:p w14:paraId="380294B2" w14:textId="3E15BA7A" w:rsidR="007C01CE" w:rsidRDefault="007C01CE" w:rsidP="007C01CE">
      <w:pPr>
        <w:spacing w:line="240" w:lineRule="auto"/>
      </w:pPr>
      <w:r>
        <w:tab/>
        <w:t xml:space="preserve">The channel capacity result generalizes naturally to more than two </w:t>
      </w:r>
      <w:r w:rsidR="001C68AE">
        <w:t>account</w:t>
      </w:r>
      <w:r>
        <w:t xml:space="preserve">s. That is, n-bit channel capacity can be achieved with n entangled </w:t>
      </w:r>
      <w:r w:rsidR="001C68AE">
        <w:t>account</w:t>
      </w:r>
      <w:r>
        <w:t xml:space="preserve">s. The information transmission capacity of the double-entry system scales linearly with the number of entangled </w:t>
      </w:r>
      <w:r w:rsidR="001C68AE">
        <w:t>account</w:t>
      </w:r>
      <w:r>
        <w:t xml:space="preserve">s.  </w:t>
      </w:r>
    </w:p>
    <w:p w14:paraId="560F5238" w14:textId="77777777" w:rsidR="007C01CE" w:rsidRDefault="007C01CE" w:rsidP="007C01CE">
      <w:pPr>
        <w:spacing w:line="240" w:lineRule="auto"/>
        <w:rPr>
          <w:b/>
          <w:bCs/>
        </w:rPr>
      </w:pPr>
    </w:p>
    <w:p w14:paraId="24D21B37" w14:textId="1219958B" w:rsidR="007C01CE" w:rsidRPr="00594616" w:rsidRDefault="007C01CE" w:rsidP="007C01CE">
      <w:pPr>
        <w:spacing w:line="240" w:lineRule="auto"/>
        <w:rPr>
          <w:b/>
          <w:bCs/>
        </w:rPr>
      </w:pPr>
      <w:r>
        <w:rPr>
          <w:b/>
          <w:bCs/>
        </w:rPr>
        <w:t>3</w:t>
      </w:r>
      <w:r w:rsidRPr="00594616">
        <w:rPr>
          <w:b/>
          <w:bCs/>
        </w:rPr>
        <w:t>.3. Entanglement and strategic coordination</w:t>
      </w:r>
    </w:p>
    <w:p w14:paraId="2B6AE3E6" w14:textId="77777777" w:rsidR="007C01CE" w:rsidRDefault="007C01CE" w:rsidP="007C01CE">
      <w:pPr>
        <w:spacing w:line="240" w:lineRule="auto"/>
      </w:pPr>
      <w:r>
        <w:tab/>
        <w:t>The channel-capacity result does not rely on any specific economic setting; it is a general result about information transmission. Economic decisions, however, are often shaped by incentives, strategic interaction, and communication constraints. We therefore next consider a game-theoretic setting—the odd-cycle game—in which entanglement may improve coordination among agents with incomplete information and restricted communication.</w:t>
      </w:r>
      <w:r>
        <w:rPr>
          <w:rStyle w:val="FootnoteReference"/>
        </w:rPr>
        <w:footnoteReference w:id="13"/>
      </w:r>
      <w:r>
        <w:t xml:space="preserve"> </w:t>
      </w:r>
    </w:p>
    <w:p w14:paraId="3EB5BD01" w14:textId="77777777" w:rsidR="007C01CE" w:rsidRDefault="007C01CE" w:rsidP="007C01CE">
      <w:pPr>
        <w:spacing w:line="240" w:lineRule="auto"/>
        <w:ind w:firstLine="720"/>
      </w:pPr>
      <w:r>
        <w:t xml:space="preserve">In the 3-seat odd-cycle game, a referee randomly assigns two players, Alice and Bob, to three seats around a round table. The seats are labeled {0, 1, 2}. There are six possible equally likely seat assignments: {00, 01, 11, 12, 22, 20}, where the first number denotes Alice’s seat and the second Bob’s seat. Each player knows only his or her own seat assignment. After the seats are assigned, the referee </w:t>
      </w:r>
      <w:r>
        <w:lastRenderedPageBreak/>
        <w:t xml:space="preserve">independently asks each player to submit a report, Red or Blue. The players win if they </w:t>
      </w:r>
      <w:r w:rsidRPr="008B214F">
        <w:t>submit the same report</w:t>
      </w:r>
      <w:r>
        <w:t xml:space="preserve"> when assigned the same seat and d</w:t>
      </w:r>
      <w:r w:rsidRPr="008B214F">
        <w:t xml:space="preserve">ifferent reports </w:t>
      </w:r>
      <w:r>
        <w:t xml:space="preserve">when assigned </w:t>
      </w:r>
      <w:r w:rsidRPr="008B214F">
        <w:t xml:space="preserve">adjacent seats. </w:t>
      </w:r>
    </w:p>
    <w:p w14:paraId="5D20B005" w14:textId="7ED8AA5A" w:rsidR="007C01CE" w:rsidRDefault="00106652" w:rsidP="007C01CE">
      <w:pPr>
        <w:spacing w:line="240" w:lineRule="auto"/>
        <w:ind w:firstLine="720"/>
      </w:pPr>
      <w:r>
        <w:t>Communication is restrict</w:t>
      </w:r>
      <w:r w:rsidR="00471F8C">
        <w:t xml:space="preserve">ed because </w:t>
      </w:r>
      <w:r w:rsidR="007C01CE" w:rsidRPr="008B214F">
        <w:t>the number of possible reports is strictly smaller than the number of seats</w:t>
      </w:r>
      <w:r>
        <w:t>. Ot</w:t>
      </w:r>
      <w:r w:rsidR="007C01CE">
        <w:t>herwise, the players could</w:t>
      </w:r>
      <w:r w:rsidR="007C01CE" w:rsidRPr="008B214F">
        <w:t xml:space="preserve"> encode their seat assignments directly </w:t>
      </w:r>
      <w:r w:rsidR="007C01CE">
        <w:t xml:space="preserve">and </w:t>
      </w:r>
      <w:r w:rsidR="007C01CE" w:rsidRPr="008B214F">
        <w:t>win with certainty.</w:t>
      </w:r>
      <w:r w:rsidR="007C01CE">
        <w:t xml:space="preserve"> </w:t>
      </w:r>
      <w:r w:rsidR="00471F8C">
        <w:t>One</w:t>
      </w:r>
      <w:r w:rsidR="007C01CE">
        <w:t xml:space="preserve"> </w:t>
      </w:r>
      <w:r w:rsidR="007C01CE" w:rsidRPr="008B214F">
        <w:t xml:space="preserve">pure strategy </w:t>
      </w:r>
      <w:r w:rsidR="007C01CE">
        <w:t xml:space="preserve">is to report </w:t>
      </w:r>
      <w:r w:rsidR="007C01CE" w:rsidRPr="008B214F">
        <w:t xml:space="preserve">Red when assigned an even-numbered seat and Blue when assigned an odd-numbered seat. This strategy wins on five of the six equally likely seat assignments and loses on exactly one, </w:t>
      </w:r>
      <w:r w:rsidR="007C01CE">
        <w:t xml:space="preserve">yielding </w:t>
      </w:r>
      <w:r w:rsidR="007C01CE" w:rsidRPr="008B214F">
        <w:t>a winning probability of 5/6.</w:t>
      </w:r>
      <w:r w:rsidR="007C01CE">
        <w:t xml:space="preserve"> Moreover, no pure strategy or random</w:t>
      </w:r>
      <w:r w:rsidR="007C01CE" w:rsidRPr="008B214F">
        <w:t>iz</w:t>
      </w:r>
      <w:r w:rsidR="007C01CE">
        <w:t xml:space="preserve">ed strategy can achieve a higher winning probability. </w:t>
      </w:r>
    </w:p>
    <w:p w14:paraId="4A0D95CB" w14:textId="096C0521" w:rsidR="007C01CE" w:rsidRDefault="007C01CE" w:rsidP="007C01CE">
      <w:pPr>
        <w:spacing w:line="240" w:lineRule="auto"/>
        <w:ind w:firstLine="720"/>
      </w:pPr>
      <w:r>
        <w:t>We now consider the quantum version of the odd-cycle game. Each player is represented as a</w:t>
      </w:r>
      <w:r w:rsidR="00257501">
        <w:t>n</w:t>
      </w:r>
      <w:r>
        <w:t xml:space="preserve"> </w:t>
      </w:r>
      <w:r w:rsidR="001C68AE">
        <w:t>account</w:t>
      </w:r>
      <w:r w:rsidR="00F40828">
        <w:t xml:space="preserve">, and the </w:t>
      </w:r>
      <w:r>
        <w:t>game becomes a two-</w:t>
      </w:r>
      <w:r w:rsidR="001C68AE">
        <w:t>account</w:t>
      </w:r>
      <w:r>
        <w:t xml:space="preserve"> composite system. </w:t>
      </w:r>
      <w:r w:rsidR="00F40828">
        <w:t>Initially, t</w:t>
      </w:r>
      <w:r w:rsidR="001918AA">
        <w:t xml:space="preserve">he informational relationship between the two </w:t>
      </w:r>
      <w:r w:rsidR="005E113C">
        <w:t>accounts</w:t>
      </w:r>
      <w:r w:rsidR="001918AA">
        <w:t xml:space="preserve"> is specified. </w:t>
      </w:r>
      <w:r>
        <w:t>After observing his or her seat assignment, each player independently chooses a phase-shift angle (</w:t>
      </w:r>
      <m:oMath>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1</m:t>
            </m:r>
          </m:sub>
        </m:sSub>
        <m:r>
          <m:rPr>
            <m:sty m:val="p"/>
          </m:rPr>
          <w:rPr>
            <w:rFonts w:ascii="Cambria Math" w:hAnsi="Cambria Math"/>
          </w:rPr>
          <m:t xml:space="preserve"> for Alice and </m:t>
        </m:r>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2</m:t>
            </m:r>
          </m:sub>
        </m:sSub>
      </m:oMath>
      <w:r w:rsidRPr="00106652">
        <w:rPr>
          <w:iCs/>
        </w:rPr>
        <w:t xml:space="preserve"> for</w:t>
      </w:r>
      <w:r>
        <w:t xml:space="preserve"> Bob). In accounting notation, this choice corresponds to the magnitude of a partial revaluation entry</w:t>
      </w:r>
      <w:r w:rsidR="00471F8C">
        <w:t xml:space="preserve"> introduced i</w:t>
      </w:r>
      <w:r w:rsidR="00106652">
        <w:t>n Section 2.2</w:t>
      </w:r>
      <w:r>
        <w:t xml:space="preserve">. </w:t>
      </w:r>
      <w:r w:rsidR="00471F8C">
        <w:t xml:space="preserve">These choices are implemented through a </w:t>
      </w:r>
      <w:r>
        <w:t>sequence of journal entries (</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oMath>
      <w:r>
        <w:t>)</w:t>
      </w:r>
      <w:r w:rsidR="00F40828">
        <w:t xml:space="preserve"> where the subscript 1 </w:t>
      </w:r>
      <w:r w:rsidR="005E113C">
        <w:t xml:space="preserve">denotes Alice’s </w:t>
      </w:r>
      <w:r w:rsidR="00F40828">
        <w:t>operation</w:t>
      </w:r>
      <w:r w:rsidR="005E113C">
        <w:t>s</w:t>
      </w:r>
      <w:r w:rsidR="00F40828">
        <w:t xml:space="preserve"> </w:t>
      </w:r>
      <w:r w:rsidR="005E113C">
        <w:t xml:space="preserve">and </w:t>
      </w:r>
      <w:r w:rsidR="00F40828">
        <w:t xml:space="preserve">the subscript 2 </w:t>
      </w:r>
      <w:r w:rsidR="005E113C">
        <w:t xml:space="preserve">denotes </w:t>
      </w:r>
      <w:r w:rsidR="00F40828">
        <w:t>Bob</w:t>
      </w:r>
      <w:r w:rsidR="005E113C">
        <w:t>’s</w:t>
      </w:r>
      <w:r>
        <w:t xml:space="preserve">. Finally, the referee measures the </w:t>
      </w:r>
      <w:r w:rsidR="00720079">
        <w:t xml:space="preserve">end-of-period </w:t>
      </w:r>
      <w:r w:rsidR="00F40828">
        <w:t>account</w:t>
      </w:r>
      <w:r w:rsidR="00720079">
        <w:t>s</w:t>
      </w:r>
      <w:r>
        <w:t xml:space="preserve"> and computes the probabilities of the possible measurement outcomes, from which the winning probability is determined. </w:t>
      </w:r>
    </w:p>
    <w:p w14:paraId="06386EC2" w14:textId="3C93C1AC" w:rsidR="007C01CE" w:rsidRPr="008B214F" w:rsidRDefault="007C01CE" w:rsidP="007C01CE">
      <w:pPr>
        <w:spacing w:line="240" w:lineRule="auto"/>
        <w:ind w:firstLine="720"/>
      </w:pPr>
      <w:r w:rsidRPr="005C1267">
        <w:t xml:space="preserve">The analysis below compares three </w:t>
      </w:r>
      <w:r w:rsidR="005E113C">
        <w:t xml:space="preserve">informational relationships between the two accounts </w:t>
      </w:r>
      <w:r w:rsidRPr="005C1267">
        <w:t>and examines how the presence or absence of entanglement affects strategic coordination.</w:t>
      </w:r>
    </w:p>
    <w:p w14:paraId="3DFDAC11" w14:textId="3393DCA5" w:rsidR="007C01CE" w:rsidRPr="008B214F" w:rsidRDefault="007C01CE" w:rsidP="007C01CE">
      <w:pPr>
        <w:spacing w:line="240" w:lineRule="auto"/>
      </w:pPr>
      <w:r w:rsidRPr="008B214F">
        <w:t xml:space="preserve">Case 1: </w:t>
      </w:r>
      <w:r>
        <w:t xml:space="preserve">The </w:t>
      </w:r>
      <w:r w:rsidR="00720079">
        <w:t xml:space="preserve">two accounts are in basis state EE. The </w:t>
      </w:r>
      <w:r>
        <w:t xml:space="preserve">two </w:t>
      </w:r>
      <w:r w:rsidR="00720079">
        <w:t>players</w:t>
      </w:r>
      <w:r>
        <w:t xml:space="preserve"> act independently, and the resulting optimization problem is equivalent to the classical odd-cycle game. </w:t>
      </w:r>
      <w:r w:rsidRPr="008B214F">
        <w:t xml:space="preserve">The maximum winning probability attainable </w:t>
      </w:r>
      <w:r>
        <w:t xml:space="preserve">remains </w:t>
      </w:r>
      <w:r w:rsidRPr="008B214F">
        <w:t xml:space="preserve">5/6. </w:t>
      </w:r>
      <w:r>
        <w:t>Thus, q</w:t>
      </w:r>
      <w:r w:rsidRPr="008B214F">
        <w:t>uantum strategies offer no advantage</w:t>
      </w:r>
      <w:r>
        <w:t xml:space="preserve"> in this case</w:t>
      </w:r>
      <w:r w:rsidRPr="008B214F">
        <w:t>.</w:t>
      </w:r>
    </w:p>
    <w:p w14:paraId="47BEECBB" w14:textId="44165527" w:rsidR="007C01CE" w:rsidRPr="008B214F" w:rsidRDefault="007C01CE" w:rsidP="007C01CE">
      <w:pPr>
        <w:spacing w:line="240" w:lineRule="auto"/>
      </w:pPr>
      <w:r w:rsidRPr="008B214F">
        <w:t xml:space="preserve">Case 2: </w:t>
      </w:r>
      <w:r>
        <w:t xml:space="preserve">The </w:t>
      </w:r>
      <w:r w:rsidR="00720079">
        <w:t xml:space="preserve">two accounts are in </w:t>
      </w:r>
      <w:r>
        <w:t xml:space="preserve">the Bell state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Pr>
          <w:iCs/>
        </w:rPr>
        <w:t>,</w:t>
      </w:r>
      <w:r>
        <w:t xml:space="preserve"> so the two </w:t>
      </w:r>
      <w:r w:rsidR="001C68AE">
        <w:t>account</w:t>
      </w:r>
      <w:r>
        <w:t xml:space="preserve">s are entangled. </w:t>
      </w:r>
      <w:r w:rsidRPr="008B214F">
        <w:t xml:space="preserve">The maximum winning probability </w:t>
      </w:r>
      <w:r>
        <w:t xml:space="preserve">increases </w:t>
      </w:r>
      <w:r w:rsidRPr="008B214F">
        <w:t xml:space="preserve">to 1/2 + √3/4 ≈ 0.933, strictly exceeding the classical ceiling of 5/6 ≈ 0.833. </w:t>
      </w:r>
      <w:r>
        <w:t xml:space="preserve">Entanglement links the two </w:t>
      </w:r>
      <w:r w:rsidR="001C68AE">
        <w:t>account</w:t>
      </w:r>
      <w:r>
        <w:t xml:space="preserve">s and allows them to coordinate more effectively than is possible in the classical game. </w:t>
      </w:r>
    </w:p>
    <w:p w14:paraId="028C92A3" w14:textId="5591D2F2" w:rsidR="007C01CE" w:rsidRDefault="007C01CE" w:rsidP="007C01CE">
      <w:pPr>
        <w:spacing w:line="240" w:lineRule="auto"/>
      </w:pPr>
      <w:r w:rsidRPr="008B214F">
        <w:t xml:space="preserve">Case 3: </w:t>
      </w:r>
      <w:r>
        <w:t xml:space="preserve">The </w:t>
      </w:r>
      <w:r w:rsidR="00720079">
        <w:t xml:space="preserve">two accounts are represented by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AE</m:t>
              </m:r>
            </m:e>
          </m:mr>
        </m:m>
      </m:oMath>
      <w:r>
        <w:t xml:space="preserve">, so the first </w:t>
      </w:r>
      <w:r w:rsidR="001C68AE">
        <w:t>account</w:t>
      </w:r>
      <w:r>
        <w:t xml:space="preserve"> is in </w:t>
      </w:r>
      <w:r w:rsidRPr="008B214F">
        <w:t xml:space="preserve">superposition </w:t>
      </w:r>
      <w:r w:rsidR="004B096B">
        <w:t xml:space="preserve">while </w:t>
      </w:r>
      <w:r w:rsidRPr="008B214F">
        <w:t xml:space="preserve">the two </w:t>
      </w:r>
      <w:r w:rsidR="001C68AE">
        <w:t>account</w:t>
      </w:r>
      <w:r w:rsidRPr="008B214F">
        <w:t xml:space="preserve">s </w:t>
      </w:r>
      <w:r w:rsidR="00720079">
        <w:t xml:space="preserve">remain independent. </w:t>
      </w:r>
      <w:r w:rsidRPr="008B214F">
        <w:t xml:space="preserve">The maximum winning probability </w:t>
      </w:r>
      <w:r>
        <w:t xml:space="preserve">falls to </w:t>
      </w:r>
      <w:r w:rsidRPr="008B214F">
        <w:t xml:space="preserve">1/2, which is strictly below the classical </w:t>
      </w:r>
      <w:r>
        <w:t>benchmar</w:t>
      </w:r>
      <w:r w:rsidRPr="008B214F">
        <w:t>k of 5/6.</w:t>
      </w:r>
      <w:r>
        <w:t xml:space="preserve"> In this case, superposition alone does not improve coordination. </w:t>
      </w:r>
      <w:r w:rsidRPr="008B214F">
        <w:t xml:space="preserve"> </w:t>
      </w:r>
    </w:p>
    <w:p w14:paraId="65E21C61" w14:textId="6DF84C80" w:rsidR="007C01CE" w:rsidRPr="00F14E24" w:rsidRDefault="007C01CE" w:rsidP="007C01CE">
      <w:pPr>
        <w:spacing w:line="240" w:lineRule="auto"/>
        <w:ind w:firstLine="720"/>
      </w:pPr>
      <w:r w:rsidRPr="00F14E24">
        <w:t xml:space="preserve">The comparison of the three cases suggests several insights. First, entanglement is the source of the coordination advantage. By structurally linking the two </w:t>
      </w:r>
      <w:r w:rsidR="001C68AE">
        <w:t>account</w:t>
      </w:r>
      <w:r w:rsidRPr="00F14E24">
        <w:t xml:space="preserve">s, entanglement </w:t>
      </w:r>
      <w:r>
        <w:t xml:space="preserve">creates dependence between </w:t>
      </w:r>
      <w:r w:rsidR="006C57E7">
        <w:t>their</w:t>
      </w:r>
      <w:r>
        <w:t xml:space="preserve"> outcomes and </w:t>
      </w:r>
      <w:r w:rsidR="006C57E7">
        <w:t xml:space="preserve">enables </w:t>
      </w:r>
      <w:r>
        <w:t>coordinat</w:t>
      </w:r>
      <w:r w:rsidR="006C57E7">
        <w:t xml:space="preserve">ion </w:t>
      </w:r>
      <w:r>
        <w:t xml:space="preserve">through a shared informational structure </w:t>
      </w:r>
      <w:r w:rsidRPr="00F14E24">
        <w:t xml:space="preserve">in a way that is impossible when the </w:t>
      </w:r>
      <w:r w:rsidR="001C68AE">
        <w:t>account</w:t>
      </w:r>
      <w:r w:rsidRPr="00F14E24">
        <w:t xml:space="preserve">s operate independently. As a result, the </w:t>
      </w:r>
      <w:r w:rsidR="001C68AE">
        <w:t>account</w:t>
      </w:r>
      <w:r>
        <w:t>s</w:t>
      </w:r>
      <w:r w:rsidRPr="00F14E24">
        <w:t xml:space="preserve"> achieve a level of coordination that exceeds the classical benchmark.</w:t>
      </w:r>
      <w:r>
        <w:t xml:space="preserve"> </w:t>
      </w:r>
    </w:p>
    <w:p w14:paraId="2E6792AD" w14:textId="40E191BE" w:rsidR="007C01CE" w:rsidRDefault="007C01CE" w:rsidP="007C01CE">
      <w:pPr>
        <w:spacing w:line="240" w:lineRule="auto"/>
        <w:ind w:firstLine="720"/>
      </w:pPr>
      <w:r>
        <w:t xml:space="preserve">Second, our analysis </w:t>
      </w:r>
      <w:r w:rsidR="006C57E7">
        <w:t>r</w:t>
      </w:r>
      <w:r>
        <w:t xml:space="preserve">eveals the distinct roles of the H-gate and the CNOT gate in </w:t>
      </w:r>
      <w:r w:rsidR="006C57E7">
        <w:t xml:space="preserve">generating </w:t>
      </w:r>
      <w:r w:rsidR="00AD130B">
        <w:t>entanglement</w:t>
      </w:r>
      <w:r>
        <w:t xml:space="preserve">. Case 1 includes neither gate and reproduces the classical benchmark. Case 3 includes the H-gate but not the CNOT gate, </w:t>
      </w:r>
      <w:r w:rsidR="006C57E7">
        <w:t xml:space="preserve">placing </w:t>
      </w:r>
      <w:r>
        <w:t xml:space="preserve">one </w:t>
      </w:r>
      <w:r w:rsidR="001C68AE">
        <w:t>account</w:t>
      </w:r>
      <w:r>
        <w:t xml:space="preserve"> in superposition without </w:t>
      </w:r>
      <w:r w:rsidR="006C57E7">
        <w:t>linking it t</w:t>
      </w:r>
      <w:r>
        <w:t xml:space="preserve">o the other </w:t>
      </w:r>
      <w:r w:rsidR="001C68AE">
        <w:t>account</w:t>
      </w:r>
      <w:r>
        <w:t xml:space="preserve">. Superposition without entanglement is not merely insufficient—it can be </w:t>
      </w:r>
      <w:r w:rsidR="006C57E7">
        <w:t>detrimental</w:t>
      </w:r>
      <w:r>
        <w:t xml:space="preserve">. Only in Case 2 are both the H-gate and the CNOT gate present. The coordination advantage therefore arises </w:t>
      </w:r>
      <w:r w:rsidR="006C57E7">
        <w:t xml:space="preserve">from entanglement. </w:t>
      </w:r>
      <w:r>
        <w:t xml:space="preserve">  </w:t>
      </w:r>
    </w:p>
    <w:p w14:paraId="5672D4BB" w14:textId="2F23B13E" w:rsidR="007C01CE" w:rsidRPr="00F14E24" w:rsidRDefault="007C01CE" w:rsidP="007C01CE">
      <w:pPr>
        <w:spacing w:line="240" w:lineRule="auto"/>
        <w:ind w:firstLine="720"/>
      </w:pPr>
      <w:r w:rsidRPr="00F14E24">
        <w:lastRenderedPageBreak/>
        <w:t xml:space="preserve">Third, the comparison highlights an important distinction between single-entry and double-entry systems. The classical odd-cycle game </w:t>
      </w:r>
      <w:r>
        <w:t xml:space="preserve">is </w:t>
      </w:r>
      <w:r w:rsidRPr="00F14E24">
        <w:t xml:space="preserve">analogous to a single-entry system </w:t>
      </w:r>
      <w:r>
        <w:t xml:space="preserve">because </w:t>
      </w:r>
      <w:r w:rsidR="001C68AE">
        <w:t>account</w:t>
      </w:r>
      <w:r>
        <w:t xml:space="preserve">s submit reports directly and no journal-entry structure underlies the decision process. </w:t>
      </w:r>
      <w:r w:rsidRPr="00F14E24">
        <w:t xml:space="preserve">By contrast, the quantum version </w:t>
      </w:r>
      <w:r>
        <w:t>is a</w:t>
      </w:r>
      <w:r w:rsidRPr="00F14E24">
        <w:t xml:space="preserve">nalogous to a double-entry system because the underlying operations are implemented through journal entries. </w:t>
      </w:r>
      <w:r>
        <w:t xml:space="preserve">The value of </w:t>
      </w:r>
      <w:r w:rsidRPr="00F14E24">
        <w:t>the double-entry system lies not merely in recording information</w:t>
      </w:r>
      <w:r>
        <w:t xml:space="preserve"> twice</w:t>
      </w:r>
      <w:r w:rsidRPr="00F14E24">
        <w:t xml:space="preserve">, but in linking information across </w:t>
      </w:r>
      <w:r w:rsidR="001C68AE">
        <w:t>account</w:t>
      </w:r>
      <w:r w:rsidRPr="00F14E24">
        <w:t>s</w:t>
      </w:r>
      <w:r>
        <w:t xml:space="preserve">. Our analysis suggests that the double-entry system can always simulate the single-entry system (Case 1). More importantly, the links created by the double-entry system </w:t>
      </w:r>
      <w:r w:rsidR="006C57E7">
        <w:t xml:space="preserve">can </w:t>
      </w:r>
      <w:r w:rsidR="00503D1C">
        <w:t>entangle accounts</w:t>
      </w:r>
      <w:r>
        <w:t xml:space="preserve"> (Case 2), enabling </w:t>
      </w:r>
      <w:r w:rsidRPr="00F14E24">
        <w:t>coordination outcomes that independent single-entry records cannot replicate.</w:t>
      </w:r>
    </w:p>
    <w:p w14:paraId="0E57FAA1" w14:textId="77777777" w:rsidR="007C01CE" w:rsidRDefault="007C01CE" w:rsidP="007C01CE">
      <w:pPr>
        <w:spacing w:line="240" w:lineRule="auto"/>
      </w:pPr>
    </w:p>
    <w:p w14:paraId="6036AD28" w14:textId="367273C2" w:rsidR="007C01CE" w:rsidRDefault="007C01CE" w:rsidP="007C01CE">
      <w:pPr>
        <w:spacing w:line="240" w:lineRule="auto"/>
        <w:rPr>
          <w:b/>
          <w:bCs/>
        </w:rPr>
      </w:pPr>
      <w:r>
        <w:rPr>
          <w:b/>
          <w:bCs/>
        </w:rPr>
        <w:t>3</w:t>
      </w:r>
      <w:r w:rsidRPr="00594616">
        <w:rPr>
          <w:b/>
          <w:bCs/>
        </w:rPr>
        <w:t>.4. Entanglement and performance measurement</w:t>
      </w:r>
    </w:p>
    <w:p w14:paraId="2A71965A" w14:textId="1B562EB3" w:rsidR="001B728B" w:rsidRDefault="00272A8E" w:rsidP="00A5340C">
      <w:pPr>
        <w:spacing w:line="240" w:lineRule="auto"/>
        <w:ind w:firstLine="720"/>
      </w:pPr>
      <w:r>
        <w:t>The odd-cycle game illustrates how entanglement improves information processing</w:t>
      </w:r>
      <w:r w:rsidR="00D46A42">
        <w:t xml:space="preserve"> in a setting where communication is restricted. </w:t>
      </w:r>
      <w:r>
        <w:t xml:space="preserve">In that setting, </w:t>
      </w:r>
      <w:r w:rsidR="00232EAF">
        <w:t xml:space="preserve">entanglement </w:t>
      </w:r>
      <w:r w:rsidR="00405F62">
        <w:t>c</w:t>
      </w:r>
      <w:r w:rsidR="000F0717">
        <w:t>reat</w:t>
      </w:r>
      <w:r w:rsidR="00405F62">
        <w:t>es</w:t>
      </w:r>
      <w:r w:rsidR="001B728B">
        <w:t xml:space="preserve"> an</w:t>
      </w:r>
      <w:r w:rsidR="00743421">
        <w:t xml:space="preserve"> </w:t>
      </w:r>
      <w:r w:rsidR="000F0717">
        <w:t>informational linkage between players</w:t>
      </w:r>
      <w:r w:rsidR="00743421">
        <w:t xml:space="preserve">, enabling nonlocal coordination that cannot be achieved classically. </w:t>
      </w:r>
      <w:r w:rsidR="00232EAF">
        <w:t>Organizations</w:t>
      </w:r>
      <w:r w:rsidR="00D46A42">
        <w:t xml:space="preserve"> use information not only to communicate and coordinate but also to produce. </w:t>
      </w:r>
      <w:r w:rsidR="00B4296E">
        <w:t xml:space="preserve">Productive activities </w:t>
      </w:r>
      <w:r w:rsidR="00B4296E" w:rsidRPr="00232EAF">
        <w:t xml:space="preserve">often depend on interactions among individuals, and </w:t>
      </w:r>
      <w:r w:rsidR="004D1811">
        <w:t xml:space="preserve">the contribution of one individual may depend fundamentally on the actions of others. </w:t>
      </w:r>
      <w:r w:rsidR="00EF1051">
        <w:t xml:space="preserve">When production depends on such interactions, the informational linkages may also influence organizational performance and the design of performance measurement systems. </w:t>
      </w:r>
      <w:r w:rsidR="009659C5">
        <w:t>In this way, e</w:t>
      </w:r>
      <w:r w:rsidR="00EF20AB">
        <w:t xml:space="preserve">ntanglement becomes a productive resource. </w:t>
      </w:r>
    </w:p>
    <w:p w14:paraId="62963572" w14:textId="3A306EB2" w:rsidR="00F24E4F" w:rsidRDefault="00D46A42" w:rsidP="00AB4F11">
      <w:pPr>
        <w:spacing w:line="240" w:lineRule="auto"/>
        <w:ind w:firstLine="720"/>
      </w:pPr>
      <w:r>
        <w:t>Consider</w:t>
      </w:r>
      <w:r w:rsidR="00EB3BC4">
        <w:t xml:space="preserve"> a</w:t>
      </w:r>
      <w:r w:rsidR="00AB4F02" w:rsidRPr="00FB53FB">
        <w:t xml:space="preserve"> principal-agent setting involving two agents whose productivity</w:t>
      </w:r>
      <w:r w:rsidR="00AB4F02">
        <w:t xml:space="preserve"> depends on their ability to work together. </w:t>
      </w:r>
      <w:r w:rsidR="00AB4F02" w:rsidRPr="00FB53FB">
        <w:t xml:space="preserve">The principal seeks to induce effort through incentive contracts and can choose between two measurement systems. Under individual measurement, each agent's performance is evaluated </w:t>
      </w:r>
      <w:r w:rsidR="00AB4006">
        <w:t>and observed independently</w:t>
      </w:r>
      <w:r w:rsidR="00AB4F02" w:rsidRPr="00FB53FB">
        <w:t xml:space="preserve">. Under group measurement, only the joint </w:t>
      </w:r>
      <w:r w:rsidR="00AB4F02">
        <w:t xml:space="preserve">performance </w:t>
      </w:r>
      <w:r w:rsidR="00AB4F02" w:rsidRPr="00FB53FB">
        <w:t>outcome is observed</w:t>
      </w:r>
      <w:r w:rsidR="00AB4F02">
        <w:t xml:space="preserve">. </w:t>
      </w:r>
      <w:r w:rsidR="000E5D61">
        <w:t>This is the setting developed in Demski et al. (2008).</w:t>
      </w:r>
      <w:r w:rsidR="008E4FC9">
        <w:t xml:space="preserve"> Three cases </w:t>
      </w:r>
      <w:r w:rsidR="00F24E4F">
        <w:t>are examined</w:t>
      </w:r>
      <w:r w:rsidR="003051C0">
        <w:t xml:space="preserve"> that differ in </w:t>
      </w:r>
      <w:r w:rsidR="00F24E4F">
        <w:t xml:space="preserve">the extent to which the productive </w:t>
      </w:r>
      <w:r w:rsidR="003051C0">
        <w:t>output depend</w:t>
      </w:r>
      <w:r w:rsidR="00CD4B16">
        <w:t>s</w:t>
      </w:r>
      <w:r w:rsidR="003051C0">
        <w:t xml:space="preserve"> on interactions between the agents</w:t>
      </w:r>
      <w:r w:rsidR="00CD4B16">
        <w:t>—t</w:t>
      </w:r>
      <w:r w:rsidR="003051C0">
        <w:t>hat</w:t>
      </w:r>
      <w:r w:rsidR="00F24E4F">
        <w:t xml:space="preserve"> is, the degree of synergy</w:t>
      </w:r>
      <w:r w:rsidR="008E4FC9">
        <w:t>.</w:t>
      </w:r>
      <w:r w:rsidR="00717919">
        <w:rPr>
          <w:rStyle w:val="FootnoteReference"/>
        </w:rPr>
        <w:footnoteReference w:id="14"/>
      </w:r>
      <w:r w:rsidR="000E5D61">
        <w:t xml:space="preserve"> </w:t>
      </w:r>
    </w:p>
    <w:p w14:paraId="721D003C" w14:textId="4E7A6C64" w:rsidR="00AB4F02" w:rsidRPr="0096142B" w:rsidRDefault="00AB4F02" w:rsidP="00AB4F02">
      <w:pPr>
        <w:spacing w:line="240" w:lineRule="auto"/>
      </w:pPr>
      <w:r>
        <w:t xml:space="preserve">Case 1: no synergy. The two agents work independently, so </w:t>
      </w:r>
      <w:r w:rsidR="00AB4006">
        <w:t xml:space="preserve">productive output is simply the sum of their separate contributions. </w:t>
      </w:r>
      <w:r>
        <w:t xml:space="preserve">In this case, individual </w:t>
      </w:r>
      <w:r w:rsidRPr="0096142B">
        <w:t>performance measures provide useful information and generally outperform group measure</w:t>
      </w:r>
      <w:r>
        <w:t>ment</w:t>
      </w:r>
      <w:r w:rsidRPr="0096142B">
        <w:t>. This is the standard result in agency theory: more detailed information improves incentive contracting</w:t>
      </w:r>
      <w:r>
        <w:t xml:space="preserve"> when</w:t>
      </w:r>
      <w:r w:rsidR="006119C8">
        <w:t xml:space="preserve"> productive</w:t>
      </w:r>
      <w:r>
        <w:t xml:space="preserve"> activities are separable</w:t>
      </w:r>
      <w:r w:rsidRPr="0096142B">
        <w:t>.</w:t>
      </w:r>
    </w:p>
    <w:p w14:paraId="4C86BAD2" w14:textId="77777777" w:rsidR="00FD226C" w:rsidRDefault="00AB4F02" w:rsidP="00AB4F02">
      <w:pPr>
        <w:spacing w:line="240" w:lineRule="auto"/>
      </w:pPr>
      <w:r>
        <w:t xml:space="preserve">Case 2: pure synergy. The two agents are fully interdependent, so productive output arises </w:t>
      </w:r>
      <w:r w:rsidR="006119C8">
        <w:t xml:space="preserve">entirely from their interaction. </w:t>
      </w:r>
      <w:r>
        <w:t>In this case</w:t>
      </w:r>
      <w:r w:rsidR="00FD226C">
        <w:t>, a</w:t>
      </w:r>
      <w:r w:rsidRPr="0096142B">
        <w:t xml:space="preserve">ttempting to measure each agent </w:t>
      </w:r>
      <w:r>
        <w:t xml:space="preserve">separately </w:t>
      </w:r>
      <w:r w:rsidRPr="0096142B">
        <w:t xml:space="preserve">destroys the informational </w:t>
      </w:r>
      <w:r w:rsidRPr="0096142B">
        <w:lastRenderedPageBreak/>
        <w:t xml:space="preserve">linkage underlying joint production. </w:t>
      </w:r>
      <w:r w:rsidR="002B4CF3">
        <w:t>G</w:t>
      </w:r>
      <w:r>
        <w:t>roup measurement</w:t>
      </w:r>
      <w:r w:rsidR="00FD226C">
        <w:t>, although less informative about individual effort,</w:t>
      </w:r>
      <w:r>
        <w:t xml:space="preserve"> preserves that structure and therefore dominates individual measurement. </w:t>
      </w:r>
    </w:p>
    <w:p w14:paraId="36554567" w14:textId="45FA66AB" w:rsidR="00AB4F02" w:rsidRDefault="00AB4F02" w:rsidP="00AB4F02">
      <w:pPr>
        <w:spacing w:line="240" w:lineRule="auto"/>
      </w:pPr>
      <w:r>
        <w:t xml:space="preserve">Case 3: partial synergy. The agents are neither fully independent nor fully interdependent. In this intermediate case, the preferred measurement system depends on the degree of synergy. Below a threshold, individual measurement dominates. Above the threshold, group measurement dominates. Most importantly, as the agency problem becomes more severe, the threshold </w:t>
      </w:r>
      <w:r w:rsidR="00503E2E">
        <w:t xml:space="preserve">decreases </w:t>
      </w:r>
      <w:r>
        <w:t xml:space="preserve">and the range over which group measurement dominates expands.   </w:t>
      </w:r>
    </w:p>
    <w:p w14:paraId="7F2C49C7" w14:textId="44A10E39" w:rsidR="00F22BEF" w:rsidRDefault="00B4774E" w:rsidP="0006480F">
      <w:pPr>
        <w:spacing w:line="240" w:lineRule="auto"/>
        <w:ind w:firstLine="720"/>
      </w:pPr>
      <w:r>
        <w:t xml:space="preserve">In the agency setting, entanglement contributes directly to production. </w:t>
      </w:r>
      <w:r w:rsidR="0006480F">
        <w:t xml:space="preserve">When the two agents work interdependently, productive output arises entirely from their interaction. Group measurement, although less informative about individual efforts, preserves the linkage structure between the agents’ productive activities and therefore dominates individual measurement. </w:t>
      </w:r>
      <w:r w:rsidR="00F22BEF">
        <w:t xml:space="preserve">While synergy describes the productive value generated by interaction among agents, entanglement is the informational structure that supports that interaction. In this sense, entanglement functions as a productive resource, encouraging the use of synergy in the production. </w:t>
      </w:r>
    </w:p>
    <w:p w14:paraId="6F268E17" w14:textId="77777777" w:rsidR="00FC3AFB" w:rsidRDefault="00AB4F02" w:rsidP="00AB4F02">
      <w:pPr>
        <w:spacing w:line="240" w:lineRule="auto"/>
        <w:ind w:firstLine="720"/>
      </w:pPr>
      <w:r>
        <w:t>One interesting finding is that as the agency problem become</w:t>
      </w:r>
      <w:r w:rsidR="00257501">
        <w:t>s</w:t>
      </w:r>
      <w:r>
        <w:t xml:space="preserve"> more severe, the range over which group measurement dominates expands. This result is counter-intuitive because conventional wisdom suggests that more severe agency problems require more measurement and tighter monitoring. </w:t>
      </w:r>
      <w:r w:rsidRPr="00384804">
        <w:t xml:space="preserve">Yet the </w:t>
      </w:r>
      <w:r>
        <w:t xml:space="preserve">analysis </w:t>
      </w:r>
      <w:r w:rsidRPr="00384804">
        <w:t xml:space="preserve">shows that precisely when the incentive to monitor </w:t>
      </w:r>
      <w:r>
        <w:t xml:space="preserve">increases, individual measurement can become more harmful. Additional measures may reduce efficiency if they encourage agents to focus on separate signals rather than on joint performance. The lesson is that when coordination matters, preserving entanglement among agents becomes increasingly valuable. </w:t>
      </w:r>
    </w:p>
    <w:p w14:paraId="4B6566F4" w14:textId="35260B08" w:rsidR="00AB4F02" w:rsidRDefault="00AB4F02" w:rsidP="00AB4F02">
      <w:pPr>
        <w:spacing w:line="240" w:lineRule="auto"/>
        <w:ind w:firstLine="720"/>
      </w:pPr>
      <w:r w:rsidRPr="002F549B">
        <w:t xml:space="preserve">Finally, the results connect directly to the </w:t>
      </w:r>
      <w:r>
        <w:t xml:space="preserve">underlying accounting systems. </w:t>
      </w:r>
      <w:r w:rsidRPr="002F549B">
        <w:t xml:space="preserve">Individual measurement is analogous to treating </w:t>
      </w:r>
      <w:r>
        <w:t xml:space="preserve">accounts </w:t>
      </w:r>
      <w:r w:rsidRPr="002F549B">
        <w:t xml:space="preserve">as </w:t>
      </w:r>
      <w:r>
        <w:t xml:space="preserve">separate </w:t>
      </w:r>
      <w:r w:rsidRPr="002F549B">
        <w:t>records, while group measurement is analogous to preserving the links among accounts within a double-entry system. The value of the double-entry system lies in preserving and processing the relationships among organizational activities.</w:t>
      </w:r>
      <w:r>
        <w:t xml:space="preserve"> In this way, entanglement again appears as the valuable organizational resource. </w:t>
      </w:r>
    </w:p>
    <w:p w14:paraId="37A04EE0" w14:textId="77777777" w:rsidR="00F22BEF" w:rsidRDefault="00F22BEF" w:rsidP="00AB4F02">
      <w:pPr>
        <w:spacing w:line="240" w:lineRule="auto"/>
        <w:ind w:firstLine="720"/>
      </w:pPr>
    </w:p>
    <w:p w14:paraId="699B849F" w14:textId="3AB5236A" w:rsidR="00B327CB" w:rsidRPr="00B327CB" w:rsidRDefault="007C01CE" w:rsidP="00F52061">
      <w:pPr>
        <w:spacing w:line="240" w:lineRule="auto"/>
        <w:rPr>
          <w:b/>
          <w:bCs/>
        </w:rPr>
      </w:pPr>
      <w:r>
        <w:rPr>
          <w:b/>
          <w:bCs/>
        </w:rPr>
        <w:t>4</w:t>
      </w:r>
      <w:r w:rsidR="00B327CB" w:rsidRPr="00B327CB">
        <w:rPr>
          <w:b/>
          <w:bCs/>
        </w:rPr>
        <w:t>. Concluding Remarks</w:t>
      </w:r>
    </w:p>
    <w:p w14:paraId="75E8CF71" w14:textId="3344E6E9" w:rsidR="00F732B5" w:rsidRDefault="00F732B5" w:rsidP="00A40933">
      <w:pPr>
        <w:spacing w:line="240" w:lineRule="auto"/>
        <w:ind w:firstLine="720"/>
      </w:pPr>
      <w:r w:rsidRPr="00F732B5">
        <w:t>This chapter has</w:t>
      </w:r>
      <w:r>
        <w:t xml:space="preserve"> examined the double-entry system from an information science perspective and argued that it remains relevant in the quantum era. Building on the three-way framing equivalence among decision-making, information, and accounting, we first showed that the double-entry system functions as an information-processing architecture through which economic information can be represented, updated, and communicated. We then demonstrated that the fundamental elements of quantum information processing—including qubits, quantum gates, superposition, and conditional operations—can be represented within the double-entry framework. Because the framework can represent both the Hadamard gate </w:t>
      </w:r>
      <w:r w:rsidR="00002700">
        <w:t xml:space="preserve">and </w:t>
      </w:r>
      <w:r>
        <w:t xml:space="preserve">the Toffoli gate, the double-entry system possesses the representational capacity necessary for both classical and quantum computation. </w:t>
      </w:r>
    </w:p>
    <w:p w14:paraId="06106818" w14:textId="58BC1A20" w:rsidR="00017B69" w:rsidRDefault="003A4E6A" w:rsidP="003A4E6A">
      <w:pPr>
        <w:spacing w:line="240" w:lineRule="auto"/>
        <w:ind w:firstLine="720"/>
      </w:pPr>
      <w:r>
        <w:t>The central insight is that the informational advantage of the double-entry system arises from entanglement</w:t>
      </w:r>
      <w:r w:rsidR="00E06DBC">
        <w:t>. When the structural linkages among accounts are preserved, the double-entr</w:t>
      </w:r>
      <w:r w:rsidR="00E07F46">
        <w:t xml:space="preserve">y system processes information in the way that cannot be achieved classically. </w:t>
      </w:r>
      <w:r w:rsidR="00AF1282">
        <w:t xml:space="preserve">Moreover, we show that entanglement is valuable (i) by expanding the communication channel capacity by allowing two bits to be communicated through one single account, (ii) by creating the linkage among players for better information processing in a coordination game with restricted communication, and (iii) by encouraging </w:t>
      </w:r>
      <w:r w:rsidR="00AF1282">
        <w:lastRenderedPageBreak/>
        <w:t xml:space="preserve">agents to pay more attention to synergy and joint performance rather than individual performances. These settings—information transmission, coordination, and incentives—highlight the major organizational decisions, and in each, the advantages appears only when the nonlocal informational linkages among accounts (entanglement) are preserved and disappears when those linkages are broken. </w:t>
      </w:r>
    </w:p>
    <w:p w14:paraId="1C2C6996" w14:textId="34B3FA92" w:rsidR="00495482" w:rsidRDefault="00017B69" w:rsidP="003A4E6A">
      <w:pPr>
        <w:spacing w:line="240" w:lineRule="auto"/>
        <w:ind w:firstLine="720"/>
      </w:pPr>
      <w:r>
        <w:t>Our analyses offer an explanation for the remarkable durability of the double-entry system. Information theory suggests</w:t>
      </w:r>
      <w:r w:rsidR="00A66CAD">
        <w:t xml:space="preserve"> why the double-entry system has survived more than five centuries of economic and technological change with little modification to its fundamental structure. </w:t>
      </w:r>
      <w:r w:rsidR="00C96519">
        <w:t xml:space="preserve">The double-entry system </w:t>
      </w:r>
      <w:r w:rsidR="004625FA">
        <w:t xml:space="preserve">supports </w:t>
      </w:r>
      <w:r w:rsidR="00C96519">
        <w:t>vector processing</w:t>
      </w:r>
      <w:r w:rsidR="004625FA">
        <w:t xml:space="preserve">, enables </w:t>
      </w:r>
      <w:r w:rsidR="00C96519">
        <w:t xml:space="preserve">superposition, and preserves </w:t>
      </w:r>
      <w:r w:rsidR="00A66CAD">
        <w:t xml:space="preserve">informational relationships that would otherwise be lost. These </w:t>
      </w:r>
      <w:r w:rsidR="004625FA">
        <w:t>features i</w:t>
      </w:r>
      <w:r w:rsidR="00A66CAD">
        <w:t>ncrease the system’s capacity to organize, communicate, and process economic information. A single-entry system,</w:t>
      </w:r>
      <w:r w:rsidR="00C96519">
        <w:t xml:space="preserve"> in contrast, </w:t>
      </w:r>
      <w:r w:rsidR="004625FA">
        <w:t xml:space="preserve">functions as </w:t>
      </w:r>
      <w:r w:rsidR="00C96519">
        <w:t xml:space="preserve">a </w:t>
      </w:r>
      <w:r w:rsidR="004625FA">
        <w:t xml:space="preserve">scalar processor and </w:t>
      </w:r>
      <w:r w:rsidR="00A66CAD">
        <w:t>lacks this relational structure</w:t>
      </w:r>
      <w:r w:rsidR="004625FA">
        <w:t>. It thus</w:t>
      </w:r>
      <w:r w:rsidR="00A66CAD">
        <w:t xml:space="preserve"> cannot achieve the same informational performance. Whenever </w:t>
      </w:r>
      <w:r w:rsidR="00495482">
        <w:t xml:space="preserve">valuable information resides in the relationships among </w:t>
      </w:r>
      <w:r w:rsidR="004625FA">
        <w:t xml:space="preserve">accounts </w:t>
      </w:r>
      <w:r w:rsidR="00495482">
        <w:t xml:space="preserve">rather than in </w:t>
      </w:r>
      <w:r w:rsidR="004625FA">
        <w:t xml:space="preserve">individual accounts, </w:t>
      </w:r>
      <w:r w:rsidR="00495482">
        <w:t>a structure that preserves these relationships</w:t>
      </w:r>
      <w:r w:rsidR="004625FA">
        <w:t xml:space="preserve">—and therefore preserves entanglement—can </w:t>
      </w:r>
      <w:r w:rsidR="00495482">
        <w:t xml:space="preserve">outperform one that separates them. </w:t>
      </w:r>
    </w:p>
    <w:p w14:paraId="0E7A1DD2" w14:textId="07C0B464" w:rsidR="002C7FDE" w:rsidRDefault="00495482" w:rsidP="00A40933">
      <w:pPr>
        <w:spacing w:line="240" w:lineRule="auto"/>
        <w:ind w:firstLine="720"/>
      </w:pPr>
      <w:r>
        <w:t xml:space="preserve">Our analyses also possess pedagogical value. Each of the four postulates of quantum information theory receives a natural accounting interpretation: qubit states encoded as T-accounts, unitary evolution encoded as journal entries, composite systems as concatenations of accounts, and </w:t>
      </w:r>
      <w:r w:rsidR="00CD00F1">
        <w:t xml:space="preserve">measurement as the </w:t>
      </w:r>
      <w:r w:rsidR="00E4674E">
        <w:t xml:space="preserve">determination of ending balances with probabilities governed by amplitudes (Fellingham et al. 2025, Fellingham et al. 2026). </w:t>
      </w:r>
      <w:r w:rsidR="002C7FDE">
        <w:t>For researche</w:t>
      </w:r>
      <w:r w:rsidR="004625FA">
        <w:t>r</w:t>
      </w:r>
      <w:r w:rsidR="002C7FDE">
        <w:t>s, educators, and practitioners in business, this framework makes quantum information theory accessible.</w:t>
      </w:r>
      <w:r w:rsidR="00A40933" w:rsidRPr="00A40933">
        <w:t xml:space="preserve"> As quantum computing transitions from theoretical possibility to engineering reality, the double-entry system </w:t>
      </w:r>
      <w:r w:rsidR="004625FA">
        <w:t xml:space="preserve">serves as </w:t>
      </w:r>
      <w:r w:rsidR="002C7FDE">
        <w:t xml:space="preserve">an information-processing architecture whose structural logic is compatible with core principles of quantum information processing. </w:t>
      </w:r>
    </w:p>
    <w:p w14:paraId="2F40C7A1" w14:textId="77777777" w:rsidR="002C7FDE" w:rsidRDefault="002C7FDE">
      <w:pPr>
        <w:rPr>
          <w:b/>
          <w:bCs/>
          <w:sz w:val="24"/>
          <w:szCs w:val="24"/>
        </w:rPr>
      </w:pPr>
    </w:p>
    <w:p w14:paraId="57ED55E6" w14:textId="77777777" w:rsidR="002C7FDE" w:rsidRDefault="002C7FDE">
      <w:pPr>
        <w:rPr>
          <w:b/>
          <w:bCs/>
          <w:sz w:val="24"/>
          <w:szCs w:val="24"/>
        </w:rPr>
      </w:pPr>
    </w:p>
    <w:p w14:paraId="2C79A93A" w14:textId="77777777" w:rsidR="002C7FDE" w:rsidRDefault="002C7FDE">
      <w:pPr>
        <w:rPr>
          <w:b/>
          <w:bCs/>
          <w:sz w:val="24"/>
          <w:szCs w:val="24"/>
        </w:rPr>
      </w:pPr>
    </w:p>
    <w:p w14:paraId="78DACE8A" w14:textId="77777777" w:rsidR="002C7FDE" w:rsidRDefault="002C7FDE">
      <w:pPr>
        <w:rPr>
          <w:b/>
          <w:bCs/>
          <w:sz w:val="24"/>
          <w:szCs w:val="24"/>
        </w:rPr>
      </w:pPr>
    </w:p>
    <w:p w14:paraId="1245D472" w14:textId="77777777" w:rsidR="002C7FDE" w:rsidRDefault="002C7FDE">
      <w:pPr>
        <w:rPr>
          <w:b/>
          <w:bCs/>
          <w:sz w:val="24"/>
          <w:szCs w:val="24"/>
        </w:rPr>
      </w:pPr>
    </w:p>
    <w:p w14:paraId="748F06E9" w14:textId="77777777" w:rsidR="002C7FDE" w:rsidRDefault="002C7FDE">
      <w:pPr>
        <w:rPr>
          <w:b/>
          <w:bCs/>
          <w:sz w:val="24"/>
          <w:szCs w:val="24"/>
        </w:rPr>
      </w:pPr>
    </w:p>
    <w:p w14:paraId="2A78F7B5" w14:textId="77777777" w:rsidR="002C7FDE" w:rsidRDefault="002C7FDE">
      <w:pPr>
        <w:rPr>
          <w:b/>
          <w:bCs/>
          <w:sz w:val="24"/>
          <w:szCs w:val="24"/>
        </w:rPr>
      </w:pPr>
    </w:p>
    <w:p w14:paraId="541A0940" w14:textId="77777777" w:rsidR="002C7FDE" w:rsidRDefault="002C7FDE">
      <w:pPr>
        <w:rPr>
          <w:b/>
          <w:bCs/>
          <w:sz w:val="24"/>
          <w:szCs w:val="24"/>
        </w:rPr>
      </w:pPr>
    </w:p>
    <w:p w14:paraId="3E21ECE4" w14:textId="77777777" w:rsidR="002C7FDE" w:rsidRDefault="002C7FDE">
      <w:pPr>
        <w:rPr>
          <w:b/>
          <w:bCs/>
          <w:sz w:val="24"/>
          <w:szCs w:val="24"/>
        </w:rPr>
      </w:pPr>
    </w:p>
    <w:p w14:paraId="5DC27104" w14:textId="77777777" w:rsidR="002C7FDE" w:rsidRDefault="002C7FDE">
      <w:pPr>
        <w:rPr>
          <w:b/>
          <w:bCs/>
          <w:sz w:val="24"/>
          <w:szCs w:val="24"/>
        </w:rPr>
      </w:pPr>
    </w:p>
    <w:p w14:paraId="6A1E7828" w14:textId="77777777" w:rsidR="002C7FDE" w:rsidRDefault="002C7FDE">
      <w:pPr>
        <w:rPr>
          <w:b/>
          <w:bCs/>
          <w:sz w:val="24"/>
          <w:szCs w:val="24"/>
        </w:rPr>
      </w:pPr>
    </w:p>
    <w:p w14:paraId="160078C1" w14:textId="77777777" w:rsidR="002C7FDE" w:rsidRDefault="002C7FDE">
      <w:pPr>
        <w:rPr>
          <w:b/>
          <w:bCs/>
          <w:sz w:val="24"/>
          <w:szCs w:val="24"/>
        </w:rPr>
      </w:pPr>
    </w:p>
    <w:p w14:paraId="508FCDF9" w14:textId="77777777" w:rsidR="002C7FDE" w:rsidRDefault="002C7FDE">
      <w:pPr>
        <w:rPr>
          <w:b/>
          <w:bCs/>
          <w:sz w:val="24"/>
          <w:szCs w:val="24"/>
        </w:rPr>
      </w:pPr>
    </w:p>
    <w:p w14:paraId="5B447AF8" w14:textId="54F4C56A" w:rsidR="00A0007F" w:rsidRPr="00A0007F" w:rsidRDefault="00A0007F">
      <w:pPr>
        <w:rPr>
          <w:b/>
          <w:bCs/>
          <w:sz w:val="24"/>
          <w:szCs w:val="24"/>
        </w:rPr>
      </w:pPr>
      <w:r w:rsidRPr="00A0007F">
        <w:rPr>
          <w:b/>
          <w:bCs/>
          <w:sz w:val="24"/>
          <w:szCs w:val="24"/>
        </w:rPr>
        <w:lastRenderedPageBreak/>
        <w:t>References</w:t>
      </w:r>
    </w:p>
    <w:p w14:paraId="1C26EFBD" w14:textId="1BA753C7" w:rsidR="0094613A" w:rsidRDefault="0094613A">
      <w:r>
        <w:t xml:space="preserve">Aharonov, Dorit. 2003. “A simple proof that Toffoli and Hadamard are quantum universal.” </w:t>
      </w:r>
      <w:hyperlink r:id="rId8" w:history="1">
        <w:proofErr w:type="spellStart"/>
        <w:proofErr w:type="gramStart"/>
        <w:r w:rsidRPr="0094613A">
          <w:rPr>
            <w:rStyle w:val="Hyperlink"/>
            <w:i/>
            <w:iCs/>
          </w:rPr>
          <w:t>arXiv:quant</w:t>
        </w:r>
        <w:proofErr w:type="gramEnd"/>
        <w:r w:rsidRPr="0094613A">
          <w:rPr>
            <w:rStyle w:val="Hyperlink"/>
            <w:i/>
            <w:iCs/>
          </w:rPr>
          <w:t>-ph</w:t>
        </w:r>
        <w:proofErr w:type="spellEnd"/>
        <w:r w:rsidRPr="0094613A">
          <w:rPr>
            <w:rStyle w:val="Hyperlink"/>
            <w:i/>
            <w:iCs/>
          </w:rPr>
          <w:t>/0301040</w:t>
        </w:r>
      </w:hyperlink>
      <w:r>
        <w:t xml:space="preserve">. </w:t>
      </w:r>
    </w:p>
    <w:p w14:paraId="3E107486" w14:textId="11856875" w:rsidR="009E3E2D" w:rsidRDefault="009E3E2D">
      <w:r>
        <w:t>Antle, Rick, John Fellingham, Haijin Lin, and Doug Schroeder. 2026</w:t>
      </w:r>
      <w:r w:rsidR="0014480C">
        <w:t>a</w:t>
      </w:r>
      <w:r>
        <w:t>. “The channel capacity of the double-entry system</w:t>
      </w:r>
      <w:r w:rsidR="0014480C">
        <w:t>.</w:t>
      </w:r>
      <w:r>
        <w:t xml:space="preserve">” </w:t>
      </w:r>
      <w:r w:rsidR="0014480C">
        <w:t>W</w:t>
      </w:r>
      <w:r w:rsidR="00DD0AB0">
        <w:t xml:space="preserve">orking paper. </w:t>
      </w:r>
    </w:p>
    <w:p w14:paraId="2E27D143" w14:textId="3EE15E45" w:rsidR="0014480C" w:rsidRDefault="0014480C" w:rsidP="0014480C">
      <w:r>
        <w:t xml:space="preserve">Antle, Rick, John Fellingham, Haijin Lin, and Doug Schroeder. 2026b. “Double-entry accounting, entanglement, and odd-cycle game.” Working paper. </w:t>
      </w:r>
    </w:p>
    <w:p w14:paraId="30D075B4" w14:textId="7C0F1DE0" w:rsidR="00E66510" w:rsidRDefault="00E66510" w:rsidP="0014480C">
      <w:r>
        <w:t xml:space="preserve">Demski, Joel, John Fellingham, Haijin Lin, and Doug Schroeder. 2008. “Interaction between productivity and measurement.” </w:t>
      </w:r>
      <w:r w:rsidRPr="00E66510">
        <w:rPr>
          <w:i/>
          <w:iCs/>
        </w:rPr>
        <w:t>Journal of Management Accounting Research</w:t>
      </w:r>
      <w:r>
        <w:t xml:space="preserve"> 20: 169-190.</w:t>
      </w:r>
    </w:p>
    <w:p w14:paraId="5BEA3886" w14:textId="3B6E64BF" w:rsidR="00160927" w:rsidRDefault="00160927" w:rsidP="0014480C">
      <w:r>
        <w:t>Fellingham, John. 201</w:t>
      </w:r>
      <w:r w:rsidR="00F906A5">
        <w:t>7</w:t>
      </w:r>
      <w:r>
        <w:t xml:space="preserve">. </w:t>
      </w:r>
      <w:r w:rsidRPr="00160927">
        <w:rPr>
          <w:i/>
          <w:iCs/>
        </w:rPr>
        <w:t>Accounting: An Information Science</w:t>
      </w:r>
      <w:r>
        <w:t xml:space="preserve">. Available at </w:t>
      </w:r>
      <w:hyperlink r:id="rId9" w:history="1">
        <w:r w:rsidR="00445EBB" w:rsidRPr="003B44A1">
          <w:rPr>
            <w:rStyle w:val="Hyperlink"/>
          </w:rPr>
          <w:t>https://bpb-us-w2.wpmucdn.com/u.osu.edu/dist/5/39171/files/2016/10/Fellinghambook-with-rev-8-2bof2wx.pdf</w:t>
        </w:r>
      </w:hyperlink>
      <w:r w:rsidR="00445EBB">
        <w:t xml:space="preserve">. </w:t>
      </w:r>
    </w:p>
    <w:p w14:paraId="0B2D788A" w14:textId="2F950094" w:rsidR="00845150" w:rsidRDefault="00845150">
      <w:r>
        <w:t>Fellingham, John, Haijin Lin,</w:t>
      </w:r>
      <w:r w:rsidR="009E3E2D">
        <w:t xml:space="preserve"> and</w:t>
      </w:r>
      <w:r>
        <w:t xml:space="preserve"> Doug Schroeder. 2022. “Entropy, </w:t>
      </w:r>
      <w:r w:rsidR="0094613A">
        <w:t>d</w:t>
      </w:r>
      <w:r>
        <w:t xml:space="preserve">ouble </w:t>
      </w:r>
      <w:r w:rsidR="0094613A">
        <w:t>e</w:t>
      </w:r>
      <w:r>
        <w:t xml:space="preserve">ntry </w:t>
      </w:r>
      <w:r w:rsidR="0094613A">
        <w:t>a</w:t>
      </w:r>
      <w:r>
        <w:t xml:space="preserve">ccounting and </w:t>
      </w:r>
      <w:r w:rsidR="0014480C">
        <w:t>quantum</w:t>
      </w:r>
      <w:r>
        <w:t xml:space="preserve"> </w:t>
      </w:r>
      <w:r w:rsidR="0094613A">
        <w:t>e</w:t>
      </w:r>
      <w:r>
        <w:t xml:space="preserve">ntanglement.” </w:t>
      </w:r>
      <w:r w:rsidRPr="008B135A">
        <w:rPr>
          <w:i/>
          <w:iCs/>
        </w:rPr>
        <w:t>F</w:t>
      </w:r>
      <w:r w:rsidR="008B135A" w:rsidRPr="008B135A">
        <w:rPr>
          <w:i/>
          <w:iCs/>
        </w:rPr>
        <w:t>oundations and Trends in Accounting</w:t>
      </w:r>
      <w:r w:rsidR="008B135A">
        <w:t xml:space="preserve"> 16 (4): 308-396.</w:t>
      </w:r>
      <w:r>
        <w:t xml:space="preserve"> </w:t>
      </w:r>
    </w:p>
    <w:p w14:paraId="0CD21BC2" w14:textId="0DC47133" w:rsidR="00EF4227" w:rsidRDefault="00EF4227">
      <w:r>
        <w:t xml:space="preserve">Fellingham, John, Haijin Lin, Doug Schroeder. 2025. “Using </w:t>
      </w:r>
      <w:r w:rsidR="0094613A">
        <w:t>d</w:t>
      </w:r>
      <w:r>
        <w:t>ouble-</w:t>
      </w:r>
      <w:r w:rsidR="0094613A">
        <w:t>e</w:t>
      </w:r>
      <w:r>
        <w:t xml:space="preserve">ntry </w:t>
      </w:r>
      <w:r w:rsidR="0094613A">
        <w:t>a</w:t>
      </w:r>
      <w:r>
        <w:t xml:space="preserve">ccounting to </w:t>
      </w:r>
      <w:r w:rsidR="0094613A">
        <w:t>p</w:t>
      </w:r>
      <w:r>
        <w:t xml:space="preserve">rogram </w:t>
      </w:r>
      <w:r w:rsidR="0094613A">
        <w:t>q</w:t>
      </w:r>
      <w:r>
        <w:t xml:space="preserve">uantum </w:t>
      </w:r>
      <w:r w:rsidR="0094613A">
        <w:t>co</w:t>
      </w:r>
      <w:r>
        <w:t xml:space="preserve">mputers.” Working paper. </w:t>
      </w:r>
    </w:p>
    <w:p w14:paraId="4FAF9CBB" w14:textId="0EC659BA" w:rsidR="008A6802" w:rsidRDefault="008A6802">
      <w:r>
        <w:t xml:space="preserve">Hakansson, Nils H. 1971. “Multi-period </w:t>
      </w:r>
      <w:r w:rsidR="0094613A">
        <w:t>m</w:t>
      </w:r>
      <w:r>
        <w:t>ean-</w:t>
      </w:r>
      <w:r w:rsidR="0094613A">
        <w:t>v</w:t>
      </w:r>
      <w:r>
        <w:t xml:space="preserve">ariance </w:t>
      </w:r>
      <w:r w:rsidR="0094613A">
        <w:t>a</w:t>
      </w:r>
      <w:r>
        <w:t xml:space="preserve">nalysis: </w:t>
      </w:r>
      <w:r w:rsidR="0094613A">
        <w:t>t</w:t>
      </w:r>
      <w:r>
        <w:t xml:space="preserve">oward </w:t>
      </w:r>
      <w:r w:rsidR="0094613A">
        <w:t>a</w:t>
      </w:r>
      <w:r>
        <w:t xml:space="preserve"> </w:t>
      </w:r>
      <w:r w:rsidR="0094613A">
        <w:t>g</w:t>
      </w:r>
      <w:r>
        <w:t xml:space="preserve">eneral </w:t>
      </w:r>
      <w:r w:rsidR="0094613A">
        <w:t>t</w:t>
      </w:r>
      <w:r>
        <w:t xml:space="preserve">heory of </w:t>
      </w:r>
      <w:r w:rsidR="0094613A">
        <w:t>p</w:t>
      </w:r>
      <w:r>
        <w:t xml:space="preserve">ortfolio </w:t>
      </w:r>
      <w:r w:rsidR="0094613A">
        <w:t>c</w:t>
      </w:r>
      <w:r>
        <w:t xml:space="preserve">hoice.” </w:t>
      </w:r>
      <w:r w:rsidRPr="008A6802">
        <w:rPr>
          <w:i/>
          <w:iCs/>
        </w:rPr>
        <w:t>The Journal of Finance</w:t>
      </w:r>
      <w:r>
        <w:t xml:space="preserve"> 26 (4): 857-884.</w:t>
      </w:r>
    </w:p>
    <w:p w14:paraId="55847E9B" w14:textId="43767C14" w:rsidR="00441ED3" w:rsidRDefault="00441ED3">
      <w:r>
        <w:t xml:space="preserve">Kelly, John L. 1956. “A </w:t>
      </w:r>
      <w:r w:rsidR="0094613A">
        <w:t>n</w:t>
      </w:r>
      <w:r>
        <w:t xml:space="preserve">ew </w:t>
      </w:r>
      <w:r w:rsidR="0094613A">
        <w:t>i</w:t>
      </w:r>
      <w:r>
        <w:t xml:space="preserve">nterpretation of </w:t>
      </w:r>
      <w:r w:rsidR="0094613A">
        <w:t>i</w:t>
      </w:r>
      <w:r>
        <w:t xml:space="preserve">nformation </w:t>
      </w:r>
      <w:r w:rsidR="0094613A">
        <w:t>r</w:t>
      </w:r>
      <w:r>
        <w:t xml:space="preserve">ate.” </w:t>
      </w:r>
      <w:r w:rsidRPr="00441ED3">
        <w:rPr>
          <w:i/>
          <w:iCs/>
        </w:rPr>
        <w:t>The Bell System Technical Journal</w:t>
      </w:r>
      <w:r>
        <w:t xml:space="preserve"> 35 (4): 917-926.</w:t>
      </w:r>
    </w:p>
    <w:p w14:paraId="6D2FAFF8" w14:textId="601BACC3" w:rsidR="00D60C83" w:rsidRDefault="00CB5FA6">
      <w:r>
        <w:t xml:space="preserve">Nielsen, Michael A., and Isaac L. Chuang. </w:t>
      </w:r>
      <w:r w:rsidR="009E3E2D">
        <w:t xml:space="preserve">2000. </w:t>
      </w:r>
      <w:r w:rsidR="009E3E2D" w:rsidRPr="009E3E2D">
        <w:rPr>
          <w:i/>
          <w:iCs/>
        </w:rPr>
        <w:t>Quantum Computation and Quantum Information</w:t>
      </w:r>
      <w:r w:rsidR="009E3E2D">
        <w:t xml:space="preserve">. Cambridge University Press. </w:t>
      </w:r>
    </w:p>
    <w:p w14:paraId="75BB6347" w14:textId="77777777" w:rsidR="00257501" w:rsidRDefault="00257501">
      <w:r>
        <w:t>Odrzywolek, Andrzej. 2026. “All elementary functions from a single binary operator.” arXiv:2603.21852.</w:t>
      </w:r>
    </w:p>
    <w:p w14:paraId="54C969DE" w14:textId="30DC942E" w:rsidR="003C763B" w:rsidRDefault="003C763B">
      <w:r>
        <w:t xml:space="preserve">Shannon, C. E. 1948. “A mathematical theory of communication.” </w:t>
      </w:r>
      <w:r w:rsidRPr="003C763B">
        <w:rPr>
          <w:i/>
          <w:iCs/>
        </w:rPr>
        <w:t>The Bell System Technical Journal</w:t>
      </w:r>
      <w:r>
        <w:t xml:space="preserve"> 27 (3): 379-423. </w:t>
      </w:r>
    </w:p>
    <w:p w14:paraId="59B1DE4E" w14:textId="151F96B0" w:rsidR="0094613A" w:rsidRDefault="0094613A">
      <w:r>
        <w:t xml:space="preserve">Shi, Yaoyun. 2003. “Both Toffoli and Controlled-Not need little help to do universal quantum computing.” </w:t>
      </w:r>
      <w:r w:rsidRPr="0094613A">
        <w:rPr>
          <w:i/>
          <w:iCs/>
        </w:rPr>
        <w:t>Qunatum Information &amp; Computation</w:t>
      </w:r>
      <w:r>
        <w:t xml:space="preserve"> 3(1): 84-92.</w:t>
      </w:r>
    </w:p>
    <w:p w14:paraId="35F9F77F" w14:textId="1F54AB8C" w:rsidR="00C30CBC" w:rsidRDefault="00C30CBC">
      <w:r>
        <w:t>Stackpole, Beth.</w:t>
      </w:r>
      <w:r w:rsidR="00CB37E4">
        <w:t xml:space="preserve"> 2025.</w:t>
      </w:r>
      <w:r>
        <w:t xml:space="preserve"> “Quantum Computing Reality Check: What Business Needs to Know Now.”</w:t>
      </w:r>
      <w:r w:rsidR="00CB37E4">
        <w:t xml:space="preserve"> </w:t>
      </w:r>
      <w:r w:rsidRPr="00CB37E4">
        <w:rPr>
          <w:i/>
          <w:iCs/>
        </w:rPr>
        <w:t>Ideas Made to Matter</w:t>
      </w:r>
      <w:r w:rsidR="00CB37E4">
        <w:t xml:space="preserve">, MIT Sloan School of Management. </w:t>
      </w:r>
      <w:hyperlink r:id="rId10" w:history="1">
        <w:r w:rsidR="000B443F" w:rsidRPr="003B44A1">
          <w:rPr>
            <w:rStyle w:val="Hyperlink"/>
          </w:rPr>
          <w:t>https://mitsloan.mit.edu/ideas-made-to-matter/quantum-computing-reality-check-what-business-needs-to-know-now</w:t>
        </w:r>
      </w:hyperlink>
      <w:r>
        <w:t>.</w:t>
      </w:r>
    </w:p>
    <w:p w14:paraId="0A7F21DA" w14:textId="60C2D1C7" w:rsidR="000B443F" w:rsidRDefault="000B443F">
      <w:r>
        <w:t xml:space="preserve">Terhal, Barbara M., Michael M. Wolf, and Andrew C. Doherty. 2025. “Quantum entanglement: a modern perspective.” </w:t>
      </w:r>
      <w:r w:rsidRPr="000B443F">
        <w:rPr>
          <w:i/>
          <w:iCs/>
        </w:rPr>
        <w:t>Physics Today</w:t>
      </w:r>
      <w:r>
        <w:t xml:space="preserve"> (January): 40-46.</w:t>
      </w:r>
    </w:p>
    <w:sectPr w:rsidR="000B443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9B52" w14:textId="77777777" w:rsidR="00602272" w:rsidRDefault="00602272" w:rsidP="00291B8A">
      <w:pPr>
        <w:spacing w:after="0" w:line="240" w:lineRule="auto"/>
      </w:pPr>
      <w:r>
        <w:separator/>
      </w:r>
    </w:p>
  </w:endnote>
  <w:endnote w:type="continuationSeparator" w:id="0">
    <w:p w14:paraId="327939DA" w14:textId="77777777" w:rsidR="00602272" w:rsidRDefault="00602272" w:rsidP="00291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521551"/>
      <w:docPartObj>
        <w:docPartGallery w:val="Page Numbers (Bottom of Page)"/>
        <w:docPartUnique/>
      </w:docPartObj>
    </w:sdtPr>
    <w:sdtEndPr>
      <w:rPr>
        <w:noProof/>
      </w:rPr>
    </w:sdtEndPr>
    <w:sdtContent>
      <w:p w14:paraId="588E796A" w14:textId="37EC2643" w:rsidR="00291B8A" w:rsidRDefault="00291B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D8C3F6" w14:textId="77777777" w:rsidR="00291B8A" w:rsidRDefault="00291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EF43F" w14:textId="77777777" w:rsidR="00602272" w:rsidRDefault="00602272" w:rsidP="00291B8A">
      <w:pPr>
        <w:spacing w:after="0" w:line="240" w:lineRule="auto"/>
      </w:pPr>
      <w:r>
        <w:separator/>
      </w:r>
    </w:p>
  </w:footnote>
  <w:footnote w:type="continuationSeparator" w:id="0">
    <w:p w14:paraId="6B590C3A" w14:textId="77777777" w:rsidR="00602272" w:rsidRDefault="00602272" w:rsidP="00291B8A">
      <w:pPr>
        <w:spacing w:after="0" w:line="240" w:lineRule="auto"/>
      </w:pPr>
      <w:r>
        <w:continuationSeparator/>
      </w:r>
    </w:p>
  </w:footnote>
  <w:footnote w:id="1">
    <w:p w14:paraId="7BA1C6D2" w14:textId="03136D21" w:rsidR="00202A77" w:rsidRDefault="00202A77">
      <w:pPr>
        <w:pStyle w:val="FootnoteText"/>
      </w:pPr>
      <w:r>
        <w:rPr>
          <w:rStyle w:val="FootnoteReference"/>
        </w:rPr>
        <w:footnoteRef/>
      </w:r>
      <w:r>
        <w:t xml:space="preserve"> In this sense, the Kelly investor </w:t>
      </w:r>
      <w:r w:rsidR="00C82EC5">
        <w:t xml:space="preserve">can be viewed as </w:t>
      </w:r>
      <w:r>
        <w:t xml:space="preserve">a decision maker with log utility. </w:t>
      </w:r>
    </w:p>
  </w:footnote>
  <w:footnote w:id="2">
    <w:p w14:paraId="60C45473" w14:textId="24F14919" w:rsidR="009005E5" w:rsidRDefault="009005E5" w:rsidP="009005E5">
      <w:pPr>
        <w:pStyle w:val="FootnoteText"/>
      </w:pPr>
      <w:r>
        <w:rPr>
          <w:rStyle w:val="FootnoteReference"/>
        </w:rPr>
        <w:footnoteRef/>
      </w:r>
      <w:r>
        <w:t xml:space="preserve"> For detailed derivations, please refer to Fellingham et al. (2022). </w:t>
      </w:r>
    </w:p>
  </w:footnote>
  <w:footnote w:id="3">
    <w:p w14:paraId="35DBBF2B" w14:textId="1CEE2AD8" w:rsidR="0027156B" w:rsidRDefault="0027156B" w:rsidP="0027156B">
      <w:pPr>
        <w:pStyle w:val="FootnoteText"/>
      </w:pPr>
      <w:r>
        <w:rPr>
          <w:rStyle w:val="FootnoteReference"/>
        </w:rPr>
        <w:footnoteRef/>
      </w:r>
      <w:r>
        <w:t xml:space="preserve"> Fellingham (2017, chapter 7) demonstrates that the T-account structure mirrors the stock-and-flow mechanics of Bayesian revision. A decision maker begins a period with prior beliefs (stocks) about uncertain future cash flows, observes evidence during the period (flows), and updates to posterior beliefs (revised stocks). Under an appropriately chosen amortization rate, standard journal entries recursively transform prior states into posterior estimates while preserving the same structural relation between beginning and ending balances. In this sense, the </w:t>
      </w:r>
      <w:r w:rsidR="00916292">
        <w:t xml:space="preserve">stock account functions as a mechanism that </w:t>
      </w:r>
      <w:r>
        <w:t>perpetually performs Bayesian updating</w:t>
      </w:r>
      <w:r w:rsidR="00916292">
        <w:t>,</w:t>
      </w:r>
      <w:r>
        <w:t xml:space="preserve"> period after period. </w:t>
      </w:r>
    </w:p>
  </w:footnote>
  <w:footnote w:id="4">
    <w:p w14:paraId="12F52879" w14:textId="77777777" w:rsidR="008007F0" w:rsidRDefault="008007F0" w:rsidP="008007F0">
      <w:pPr>
        <w:pStyle w:val="FootnoteText"/>
      </w:pPr>
      <w:r>
        <w:rPr>
          <w:rStyle w:val="FootnoteReference"/>
        </w:rPr>
        <w:footnoteRef/>
      </w:r>
      <w:r>
        <w:t xml:space="preserve"> The reclassification entries are </w:t>
      </w:r>
      <w:r w:rsidRPr="00A73EEC">
        <w:rPr>
          <w:i/>
          <w:iCs/>
        </w:rPr>
        <w:t>Debit A / Credit E by 1</w:t>
      </w:r>
      <w:r>
        <w:t xml:space="preserve"> and </w:t>
      </w:r>
      <w:r w:rsidRPr="00A73EEC">
        <w:rPr>
          <w:i/>
          <w:iCs/>
        </w:rPr>
        <w:t>Debit E / Credit A by 1</w:t>
      </w:r>
      <w:r>
        <w:t>.</w:t>
      </w:r>
    </w:p>
  </w:footnote>
  <w:footnote w:id="5">
    <w:p w14:paraId="621E5B7C" w14:textId="77777777" w:rsidR="008007F0" w:rsidRDefault="008007F0" w:rsidP="008007F0">
      <w:pPr>
        <w:pStyle w:val="FootnoteText"/>
      </w:pPr>
      <w:r>
        <w:rPr>
          <w:rStyle w:val="FootnoteReference"/>
        </w:rPr>
        <w:footnoteRef/>
      </w:r>
      <w:r>
        <w:t xml:space="preserve"> The revaluation entries are </w:t>
      </w:r>
      <w:r w:rsidRPr="00A73EEC">
        <w:rPr>
          <w:i/>
          <w:iCs/>
        </w:rPr>
        <w:t>Debit Gains/Losses / Credit A by 2</w:t>
      </w:r>
      <w:r>
        <w:t xml:space="preserve"> and </w:t>
      </w:r>
      <w:r w:rsidRPr="00A73EEC">
        <w:rPr>
          <w:i/>
          <w:iCs/>
        </w:rPr>
        <w:t>Debit A / Credit Gains/Losses by 2</w:t>
      </w:r>
      <w:r>
        <w:t>.</w:t>
      </w:r>
    </w:p>
  </w:footnote>
  <w:footnote w:id="6">
    <w:p w14:paraId="1370EEA3" w14:textId="06420519" w:rsidR="00331D3D" w:rsidRDefault="00331D3D">
      <w:pPr>
        <w:pStyle w:val="FootnoteText"/>
      </w:pPr>
      <w:r>
        <w:rPr>
          <w:rStyle w:val="FootnoteReference"/>
        </w:rPr>
        <w:footnoteRef/>
      </w:r>
      <w:r>
        <w:t xml:space="preserve"> The </w:t>
      </w:r>
      <m:oMath>
        <m:r>
          <m:rPr>
            <m:sty m:val="p"/>
          </m:rPr>
          <w:rPr>
            <w:rFonts w:ascii="Cambria Math" w:hAnsi="Cambria Math"/>
          </w:rPr>
          <m:t>θ</m:t>
        </m:r>
      </m:oMath>
      <w:r>
        <w:t xml:space="preserve">-gate </w:t>
      </w:r>
      <w:r w:rsidR="0077297E">
        <w:t xml:space="preserve">will be used in the quantum odd-cycle game presented in Section 3.3. </w:t>
      </w:r>
    </w:p>
  </w:footnote>
  <w:footnote w:id="7">
    <w:p w14:paraId="41A8975D" w14:textId="478F864B" w:rsidR="008007F0" w:rsidRDefault="008007F0" w:rsidP="008007F0">
      <w:pPr>
        <w:pStyle w:val="FootnoteText"/>
      </w:pPr>
      <w:r>
        <w:rPr>
          <w:rStyle w:val="FootnoteReference"/>
        </w:rPr>
        <w:footnoteRef/>
      </w:r>
      <w:r>
        <w:t xml:space="preserve"> </w:t>
      </w:r>
      <w:r w:rsidR="00CF5E4F">
        <w:t>T</w:t>
      </w:r>
      <w:r>
        <w:t>he entry for the T-gate</w:t>
      </w:r>
      <w:r w:rsidR="00CF5E4F">
        <w:t xml:space="preserve">, </w:t>
      </w:r>
      <w:r w:rsidR="00CF5E4F" w:rsidRPr="00187C6A">
        <w:rPr>
          <w:i/>
          <w:iCs/>
        </w:rPr>
        <w:t>Debit Gains/Losses / Credit A by ½</w:t>
      </w:r>
      <w:r w:rsidR="00CF5E4F">
        <w:t>,</w:t>
      </w:r>
      <w:r>
        <w:t xml:space="preserve"> changes A from a debit balance of 1 to a debit balance of ½, and</w:t>
      </w:r>
      <w:r w:rsidR="00CF5E4F">
        <w:t xml:space="preserve"> the entry, </w:t>
      </w:r>
      <w:r w:rsidR="00CF5E4F" w:rsidRPr="00187C6A">
        <w:rPr>
          <w:i/>
          <w:iCs/>
        </w:rPr>
        <w:t>Debit A / Credit Gains/Losses by ½</w:t>
      </w:r>
      <w:r w:rsidR="00CF5E4F">
        <w:t xml:space="preserve">, </w:t>
      </w:r>
      <w:r>
        <w:t xml:space="preserve">changes </w:t>
      </w:r>
      <m:oMath>
        <m:acc>
          <m:accPr>
            <m:ctrlPr>
              <w:rPr>
                <w:rFonts w:ascii="Cambria Math" w:hAnsi="Cambria Math"/>
                <w:iCs/>
              </w:rPr>
            </m:ctrlPr>
          </m:accPr>
          <m:e>
            <m:r>
              <m:rPr>
                <m:sty m:val="p"/>
              </m:rPr>
              <w:rPr>
                <w:rFonts w:ascii="Cambria Math" w:hAnsi="Cambria Math"/>
              </w:rPr>
              <m:t>A</m:t>
            </m:r>
          </m:e>
        </m:acc>
      </m:oMath>
      <w:r>
        <w:t xml:space="preserve"> from a credit balance of 1 to a credit balance of ½. Similarly, the S-gate</w:t>
      </w:r>
      <w:r w:rsidR="00CF5E4F">
        <w:t xml:space="preserve"> </w:t>
      </w:r>
      <w:r>
        <w:t>change</w:t>
      </w:r>
      <w:r w:rsidR="00187C6A">
        <w:t>s</w:t>
      </w:r>
      <w:r>
        <w:t xml:space="preserve"> both A and </w:t>
      </w:r>
      <m:oMath>
        <m:acc>
          <m:accPr>
            <m:ctrlPr>
              <w:rPr>
                <w:rFonts w:ascii="Cambria Math" w:hAnsi="Cambria Math"/>
                <w:iCs/>
              </w:rPr>
            </m:ctrlPr>
          </m:accPr>
          <m:e>
            <m:r>
              <m:rPr>
                <m:sty m:val="p"/>
              </m:rPr>
              <w:rPr>
                <w:rFonts w:ascii="Cambria Math" w:hAnsi="Cambria Math"/>
              </w:rPr>
              <m:t>A</m:t>
            </m:r>
          </m:e>
        </m:acc>
      </m:oMath>
      <w:r>
        <w:t xml:space="preserve"> to a zero balance. In T-account notation, the </w:t>
      </w:r>
      <w:r w:rsidR="00187C6A">
        <w:t xml:space="preserve">entry for the S-gate, </w:t>
      </w:r>
      <w:r w:rsidR="00187C6A" w:rsidRPr="00187C6A">
        <w:rPr>
          <w:i/>
          <w:iCs/>
        </w:rPr>
        <w:t>Debit Gains/Losses / Credit A by 1</w:t>
      </w:r>
      <w:r w:rsidR="00187C6A">
        <w:t>,</w:t>
      </w:r>
      <w:r>
        <w:t xml:space="preserve"> changes A to an account with 1 on both the debit and credit sides, and</w:t>
      </w:r>
      <w:r w:rsidR="00187C6A">
        <w:t xml:space="preserve"> the entry, </w:t>
      </w:r>
      <w:r w:rsidR="00187C6A" w:rsidRPr="00187C6A">
        <w:rPr>
          <w:i/>
          <w:iCs/>
        </w:rPr>
        <w:t>Debit A / Credit Gains/Losses by 1</w:t>
      </w:r>
      <w:r w:rsidR="00187C6A">
        <w:t>,</w:t>
      </w:r>
      <w:r>
        <w:t xml:space="preserve"> changes </w:t>
      </w:r>
      <m:oMath>
        <m:acc>
          <m:accPr>
            <m:ctrlPr>
              <w:rPr>
                <w:rFonts w:ascii="Cambria Math" w:hAnsi="Cambria Math"/>
                <w:iCs/>
              </w:rPr>
            </m:ctrlPr>
          </m:accPr>
          <m:e>
            <m:r>
              <m:rPr>
                <m:sty m:val="p"/>
              </m:rPr>
              <w:rPr>
                <w:rFonts w:ascii="Cambria Math" w:hAnsi="Cambria Math"/>
              </w:rPr>
              <m:t>A</m:t>
            </m:r>
          </m:e>
        </m:acc>
      </m:oMath>
      <w:r>
        <w:t xml:space="preserve"> to an account with 2 on both the debit and credit sides. These accounts form a circle analogous to the unit circle in the complex plane. A more detailed discussion can be found in Fellingham et al. (2025).   </w:t>
      </w:r>
    </w:p>
  </w:footnote>
  <w:footnote w:id="8">
    <w:p w14:paraId="7BC3932A" w14:textId="6A60477B" w:rsidR="008007F0" w:rsidRPr="00BE5C25" w:rsidRDefault="008007F0" w:rsidP="008007F0">
      <w:pPr>
        <w:pStyle w:val="FootnoteText"/>
      </w:pPr>
      <w:r>
        <w:rPr>
          <w:rStyle w:val="FootnoteReference"/>
        </w:rPr>
        <w:footnoteRef/>
      </w:r>
      <w:r>
        <w:t xml:space="preserve"> The Hadamard gate is </w:t>
      </w:r>
      <w:r w:rsidRPr="00BE5C25">
        <w:t xml:space="preserve">written as </w:t>
      </w:r>
      <m:oMath>
        <m:r>
          <m:rPr>
            <m:sty m:val="p"/>
          </m:rPr>
          <w:rPr>
            <w:rFonts w:ascii="Cambria Math" w:hAnsi="Cambria Math"/>
          </w:rPr>
          <m:t>H=(X+Z)/</m:t>
        </m:r>
        <m:rad>
          <m:radPr>
            <m:degHide m:val="1"/>
            <m:ctrlPr>
              <w:rPr>
                <w:rFonts w:ascii="Cambria Math" w:hAnsi="Cambria Math"/>
                <w:iCs/>
              </w:rPr>
            </m:ctrlPr>
          </m:radPr>
          <m:deg/>
          <m:e>
            <m:r>
              <m:rPr>
                <m:sty m:val="p"/>
              </m:rPr>
              <w:rPr>
                <w:rFonts w:ascii="Cambria Math" w:hAnsi="Cambria Math"/>
              </w:rPr>
              <m:t>2</m:t>
            </m:r>
          </m:e>
        </m:rad>
      </m:oMath>
      <w:r w:rsidRPr="00A73EEC">
        <w:rPr>
          <w:iCs/>
        </w:rPr>
        <w:t>,</w:t>
      </w:r>
      <w:r w:rsidRPr="00BE5C25">
        <w:t xml:space="preserve"> where the amplitude </w:t>
      </w: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w:r w:rsidRPr="00BE5C25">
        <w:t xml:space="preserve"> is important to ensure that the H-gate is unitary</w:t>
      </w:r>
      <w:r>
        <w:t xml:space="preserve">. In our accounting notation, this factor is recorded separately for expositional clarity. </w:t>
      </w:r>
    </w:p>
  </w:footnote>
  <w:footnote w:id="9">
    <w:p w14:paraId="18F19DEF" w14:textId="119B9105" w:rsidR="008007F0" w:rsidRDefault="008007F0" w:rsidP="008007F0">
      <w:pPr>
        <w:pStyle w:val="FootnoteText"/>
      </w:pPr>
      <w:r>
        <w:rPr>
          <w:rStyle w:val="FootnoteReference"/>
        </w:rPr>
        <w:footnoteRef/>
      </w:r>
      <w:r>
        <w:t xml:space="preserve"> In Fellingham et al. (2025), the Toffoli gate is decomposed into a sequence of sixteen operations (sixteen journal entries</w:t>
      </w:r>
      <w:r w:rsidR="00DC7018">
        <w:t xml:space="preserve"> composed of X-, H-, S-, and T-gates</w:t>
      </w:r>
      <w:r>
        <w:t xml:space="preserve">). This step-by-step accounting notation makes it transparent how the Toffoli gate acts on a three-qubit state, including the creation and removal of superposition and the application of CNOT operation on the target qubit.   </w:t>
      </w:r>
    </w:p>
  </w:footnote>
  <w:footnote w:id="10">
    <w:p w14:paraId="2715D4AA" w14:textId="6966B293" w:rsidR="00E45014" w:rsidRDefault="00E45014">
      <w:pPr>
        <w:pStyle w:val="FootnoteText"/>
      </w:pPr>
      <w:r>
        <w:rPr>
          <w:rStyle w:val="FootnoteReference"/>
        </w:rPr>
        <w:footnoteRef/>
      </w:r>
      <w:r>
        <w:t xml:space="preserve"> </w:t>
      </w:r>
      <w:r w:rsidR="00BC2F74">
        <w:t>Universality</w:t>
      </w:r>
      <w:r w:rsidR="003A5816">
        <w:t xml:space="preserve"> refers to the </w:t>
      </w:r>
      <w:r w:rsidR="00BC2F74">
        <w:t xml:space="preserve">principle that a </w:t>
      </w:r>
      <w:r w:rsidR="003A5816">
        <w:t>small collection of primitive operations can generate a</w:t>
      </w:r>
      <w:r w:rsidR="00BC2F74">
        <w:t xml:space="preserve"> rich </w:t>
      </w:r>
      <w:r w:rsidR="003A5816">
        <w:t xml:space="preserve">class of structures. </w:t>
      </w:r>
      <w:r w:rsidR="001E1337">
        <w:t>Recent work by Odrzywolek</w:t>
      </w:r>
      <w:r w:rsidR="00EC007E">
        <w:t xml:space="preserve"> </w:t>
      </w:r>
      <w:r w:rsidR="001E1337">
        <w:t xml:space="preserve">(2026) </w:t>
      </w:r>
      <w:r w:rsidR="00BC2F74">
        <w:t>demonstrates this idea by s</w:t>
      </w:r>
      <w:r w:rsidR="001E1337">
        <w:t>how</w:t>
      </w:r>
      <w:r w:rsidR="00BC2F74">
        <w:t>ing</w:t>
      </w:r>
      <w:r w:rsidR="001E1337">
        <w:t xml:space="preserve"> that a single binary operator can generate the broad class of elementary mathematical functions.</w:t>
      </w:r>
      <w:r w:rsidR="00B86D59">
        <w:t xml:space="preserve"> </w:t>
      </w:r>
      <w:r w:rsidR="003A5816">
        <w:t xml:space="preserve">Because the double-entry framework admits representations of the Hadamard gate and the Toffoli gate, it is universal </w:t>
      </w:r>
      <w:r w:rsidR="00D00904">
        <w:t xml:space="preserve">for </w:t>
      </w:r>
      <w:r w:rsidR="003A5816">
        <w:t>represent</w:t>
      </w:r>
      <w:r w:rsidR="00D00904">
        <w:t>ing class</w:t>
      </w:r>
      <w:r w:rsidR="003A5816">
        <w:t xml:space="preserve">ical and quantum computations. </w:t>
      </w:r>
    </w:p>
  </w:footnote>
  <w:footnote w:id="11">
    <w:p w14:paraId="6DEE979E" w14:textId="2CA889D2" w:rsidR="00FC3AFB" w:rsidRDefault="00FC3AFB">
      <w:pPr>
        <w:pStyle w:val="FootnoteText"/>
      </w:pPr>
      <w:r>
        <w:rPr>
          <w:rStyle w:val="FootnoteReference"/>
        </w:rPr>
        <w:footnoteRef/>
      </w:r>
      <w:r>
        <w:t xml:space="preserve"> </w:t>
      </w:r>
      <w:r w:rsidR="00992F06">
        <w:t>Non-locality is a de</w:t>
      </w:r>
      <w:r>
        <w:t>fining feature of Bell states</w:t>
      </w:r>
      <w:r w:rsidR="00992F06">
        <w:t xml:space="preserve"> (entanglement)</w:t>
      </w:r>
      <w:r>
        <w:t xml:space="preserve">. In classical systems, correlations between two separate </w:t>
      </w:r>
      <w:r w:rsidR="00C56042">
        <w:t>accounts</w:t>
      </w:r>
      <w:r>
        <w:t xml:space="preserve"> can be traced to locally stored information</w:t>
      </w:r>
      <w:r w:rsidR="00C56042">
        <w:t>: e</w:t>
      </w:r>
      <w:r>
        <w:t xml:space="preserve">ach </w:t>
      </w:r>
      <w:r w:rsidR="00C56042">
        <w:t>account</w:t>
      </w:r>
      <w:r>
        <w:t xml:space="preserve"> carries its share of </w:t>
      </w:r>
      <w:r w:rsidR="00C56042">
        <w:t>a</w:t>
      </w:r>
      <w:r>
        <w:t xml:space="preserve"> common signal. Entangled </w:t>
      </w:r>
      <w:r w:rsidR="00C56042">
        <w:t>accounts</w:t>
      </w:r>
      <w:r>
        <w:t>, however, exhibit correlations that cannot be decomposed</w:t>
      </w:r>
      <w:r w:rsidR="00C56042">
        <w:t xml:space="preserve"> in this way</w:t>
      </w:r>
      <w:r>
        <w:t xml:space="preserve">. </w:t>
      </w:r>
      <w:r w:rsidR="00C56042">
        <w:t>In a Bell state, n</w:t>
      </w:r>
      <w:r>
        <w:t xml:space="preserve">either account </w:t>
      </w:r>
      <w:r w:rsidR="00C56042">
        <w:t>ha</w:t>
      </w:r>
      <w:r>
        <w:t>s a definite informational state on its own</w:t>
      </w:r>
      <w:r w:rsidR="00C56042">
        <w:t xml:space="preserve">. Instead, the information is embedded in </w:t>
      </w:r>
      <w:r>
        <w:t xml:space="preserve">the relationship between the accounts. </w:t>
      </w:r>
      <w:r w:rsidR="00C56042">
        <w:t xml:space="preserve">In this sense, entanglement is nonlocal. </w:t>
      </w:r>
      <w:r>
        <w:t xml:space="preserve">In organizational terms, when accounts are entangled, </w:t>
      </w:r>
      <w:r w:rsidR="00992F06">
        <w:t xml:space="preserve">examining a single account </w:t>
      </w:r>
      <w:r>
        <w:t>can</w:t>
      </w:r>
      <w:r w:rsidR="00992F06">
        <w:t>not</w:t>
      </w:r>
      <w:r>
        <w:t xml:space="preserve"> recover the full information content of the system. Th</w:t>
      </w:r>
      <w:r w:rsidR="00C56042">
        <w:t>at content only ex</w:t>
      </w:r>
      <w:r>
        <w:t xml:space="preserve">ists at the level of the relationship—a structure that the double-entry framework is uniquely suited to represent and preserve. </w:t>
      </w:r>
    </w:p>
  </w:footnote>
  <w:footnote w:id="12">
    <w:p w14:paraId="2E273382" w14:textId="77777777" w:rsidR="007C01CE" w:rsidRDefault="007C01CE" w:rsidP="007C01CE">
      <w:pPr>
        <w:pStyle w:val="FootnoteText"/>
      </w:pPr>
      <w:r>
        <w:rPr>
          <w:rStyle w:val="FootnoteReference"/>
        </w:rPr>
        <w:footnoteRef/>
      </w:r>
      <w:r>
        <w:t xml:space="preserve"> Please refer to Antle et al. (2026a) for more detailed analysis. </w:t>
      </w:r>
    </w:p>
  </w:footnote>
  <w:footnote w:id="13">
    <w:p w14:paraId="30EFDA92" w14:textId="77777777" w:rsidR="007C01CE" w:rsidRDefault="007C01CE" w:rsidP="007C01CE">
      <w:pPr>
        <w:pStyle w:val="FootnoteText"/>
      </w:pPr>
      <w:r>
        <w:rPr>
          <w:rStyle w:val="FootnoteReference"/>
        </w:rPr>
        <w:footnoteRef/>
      </w:r>
      <w:r>
        <w:t xml:space="preserve"> Please refer to Antle et al. (2026b) for more detailed analysis.</w:t>
      </w:r>
    </w:p>
  </w:footnote>
  <w:footnote w:id="14">
    <w:p w14:paraId="1A9E5369" w14:textId="24079602" w:rsidR="00717919" w:rsidRPr="00717919" w:rsidRDefault="00717919" w:rsidP="008E4FC9">
      <w:pPr>
        <w:pStyle w:val="FootnoteText"/>
        <w:spacing w:after="240"/>
      </w:pPr>
      <w:r>
        <w:rPr>
          <w:rStyle w:val="FootnoteReference"/>
        </w:rPr>
        <w:footnoteRef/>
      </w:r>
      <w:r>
        <w:t xml:space="preserve"> </w:t>
      </w:r>
      <w:r w:rsidR="001304C2">
        <w:t>Using the accounting notation developed in Section 2, t</w:t>
      </w:r>
      <w:r w:rsidR="008E4FC9">
        <w:t>he no</w:t>
      </w:r>
      <w:r w:rsidR="001304C2">
        <w:t>-</w:t>
      </w:r>
      <w:r w:rsidR="008E4FC9">
        <w:t>synergy case is described by EE, and the pure</w:t>
      </w:r>
      <w:r w:rsidR="001304C2">
        <w:t>-</w:t>
      </w:r>
      <w:r w:rsidR="008E4FC9">
        <w:t xml:space="preserve">synergy case is described </w:t>
      </w:r>
      <w:r w:rsidR="004C4E36">
        <w:t xml:space="preserve">by </w:t>
      </w:r>
      <m:oMath>
        <m:m>
          <m:mPr>
            <m:mcs>
              <m:mc>
                <m:mcPr>
                  <m:count m:val="1"/>
                  <m:mcJc m:val="center"/>
                </m:mcPr>
              </m:mc>
            </m:mcs>
            <m:ctrlPr>
              <w:rPr>
                <w:rFonts w:ascii="Cambria Math" w:hAnsi="Cambria Math"/>
                <w:i/>
              </w:rPr>
            </m:ctrlPr>
          </m:mPr>
          <m:mr>
            <m:e>
              <m:r>
                <w:rPr>
                  <w:rFonts w:ascii="Cambria Math" w:hAnsi="Cambria Math"/>
                </w:rPr>
                <m:t>EE</m:t>
              </m:r>
            </m:e>
          </m:mr>
          <m:mr>
            <m:e>
              <m:r>
                <w:rPr>
                  <w:rFonts w:ascii="Cambria Math" w:hAnsi="Cambria Math"/>
                </w:rPr>
                <m:t>AA</m:t>
              </m:r>
            </m:e>
          </m:mr>
        </m:m>
      </m:oMath>
      <w:r w:rsidRPr="00717919">
        <w:t xml:space="preserve">. The individual measurement </w:t>
      </w:r>
      <w:r w:rsidR="004C4E36">
        <w:t xml:space="preserve">system uses the basis states, EE, EA, AE, and AA, as the measurement basis. The group measurement system uses the </w:t>
      </w:r>
      <w:r w:rsidR="00CD4B16">
        <w:t>Be</w:t>
      </w:r>
      <w:r w:rsidR="004C4E36">
        <w:t xml:space="preserve">ll states, </w:t>
      </w:r>
      <m:oMath>
        <m:m>
          <m:mPr>
            <m:mcs>
              <m:mc>
                <m:mcPr>
                  <m:count m:val="1"/>
                  <m:mcJc m:val="center"/>
                </m:mcPr>
              </m:mc>
            </m:mcs>
            <m:ctrlPr>
              <w:rPr>
                <w:rFonts w:ascii="Cambria Math" w:hAnsi="Cambria Math"/>
                <w:i/>
              </w:rPr>
            </m:ctrlPr>
          </m:mPr>
          <m:mr>
            <m:e>
              <m:r>
                <w:rPr>
                  <w:rFonts w:ascii="Cambria Math" w:hAnsi="Cambria Math"/>
                </w:rPr>
                <m:t>EE</m:t>
              </m:r>
            </m:e>
          </m:mr>
          <m:mr>
            <m:e>
              <m:r>
                <w:rPr>
                  <w:rFonts w:ascii="Cambria Math" w:hAnsi="Cambria Math"/>
                </w:rPr>
                <m:t>AA</m:t>
              </m:r>
            </m:e>
          </m:mr>
        </m:m>
      </m:oMath>
      <w:r w:rsidR="004C4E36">
        <w:t xml:space="preserve">, </w:t>
      </w:r>
      <m:oMath>
        <m:m>
          <m:mPr>
            <m:mcs>
              <m:mc>
                <m:mcPr>
                  <m:count m:val="1"/>
                  <m:mcJc m:val="center"/>
                </m:mcPr>
              </m:mc>
            </m:mcs>
            <m:ctrlPr>
              <w:rPr>
                <w:rFonts w:ascii="Cambria Math" w:hAnsi="Cambria Math"/>
                <w:i/>
              </w:rPr>
            </m:ctrlPr>
          </m:mPr>
          <m:mr>
            <m:e>
              <m:r>
                <w:rPr>
                  <w:rFonts w:ascii="Cambria Math" w:hAnsi="Cambria Math"/>
                </w:rPr>
                <m:t>EA</m:t>
              </m:r>
            </m:e>
          </m:mr>
          <m:mr>
            <m:e>
              <m:r>
                <w:rPr>
                  <w:rFonts w:ascii="Cambria Math" w:hAnsi="Cambria Math"/>
                </w:rPr>
                <m:t>AE</m:t>
              </m:r>
            </m:e>
          </m:mr>
        </m:m>
      </m:oMath>
      <w:r w:rsidR="00D375F7">
        <w:t xml:space="preserve">, </w:t>
      </w:r>
      <m:oMath>
        <m:m>
          <m:mPr>
            <m:mcs>
              <m:mc>
                <m:mcPr>
                  <m:count m:val="1"/>
                  <m:mcJc m:val="center"/>
                </m:mcPr>
              </m:mc>
            </m:mcs>
            <m:ctrlPr>
              <w:rPr>
                <w:rFonts w:ascii="Cambria Math" w:hAnsi="Cambria Math"/>
                <w:i/>
              </w:rPr>
            </m:ctrlPr>
          </m:mPr>
          <m:mr>
            <m:e>
              <m:r>
                <w:rPr>
                  <w:rFonts w:ascii="Cambria Math" w:hAnsi="Cambria Math"/>
                </w:rPr>
                <m:t>EE</m:t>
              </m:r>
            </m:e>
          </m:mr>
          <m:mr>
            <m:e>
              <m:acc>
                <m:accPr>
                  <m:ctrlPr>
                    <w:rPr>
                      <w:rFonts w:ascii="Cambria Math" w:hAnsi="Cambria Math"/>
                      <w:i/>
                    </w:rPr>
                  </m:ctrlPr>
                </m:accPr>
                <m:e>
                  <m:r>
                    <w:rPr>
                      <w:rFonts w:ascii="Cambria Math" w:hAnsi="Cambria Math"/>
                    </w:rPr>
                    <m:t>A</m:t>
                  </m:r>
                </m:e>
              </m:acc>
              <m:r>
                <w:rPr>
                  <w:rFonts w:ascii="Cambria Math" w:hAnsi="Cambria Math"/>
                </w:rPr>
                <m:t>A</m:t>
              </m:r>
            </m:e>
          </m:mr>
        </m:m>
      </m:oMath>
      <w:r w:rsidR="00D375F7">
        <w:t xml:space="preserve">, and </w:t>
      </w:r>
      <m:oMath>
        <m:m>
          <m:mPr>
            <m:mcs>
              <m:mc>
                <m:mcPr>
                  <m:count m:val="1"/>
                  <m:mcJc m:val="center"/>
                </m:mcPr>
              </m:mc>
            </m:mcs>
            <m:ctrlPr>
              <w:rPr>
                <w:rFonts w:ascii="Cambria Math" w:hAnsi="Cambria Math"/>
                <w:i/>
              </w:rPr>
            </m:ctrlPr>
          </m:mPr>
          <m:mr>
            <m:e>
              <m:r>
                <w:rPr>
                  <w:rFonts w:ascii="Cambria Math" w:hAnsi="Cambria Math"/>
                </w:rPr>
                <m:t>EA</m:t>
              </m:r>
            </m:e>
          </m:mr>
          <m:mr>
            <m:e>
              <m:acc>
                <m:accPr>
                  <m:ctrlPr>
                    <w:rPr>
                      <w:rFonts w:ascii="Cambria Math" w:hAnsi="Cambria Math"/>
                      <w:i/>
                    </w:rPr>
                  </m:ctrlPr>
                </m:accPr>
                <m:e>
                  <m:r>
                    <w:rPr>
                      <w:rFonts w:ascii="Cambria Math" w:hAnsi="Cambria Math"/>
                    </w:rPr>
                    <m:t>A</m:t>
                  </m:r>
                </m:e>
              </m:acc>
              <m:r>
                <w:rPr>
                  <w:rFonts w:ascii="Cambria Math" w:hAnsi="Cambria Math"/>
                </w:rPr>
                <m:t>E</m:t>
              </m:r>
            </m:e>
          </m:mr>
        </m:m>
      </m:oMath>
      <w:r w:rsidR="00D375F7">
        <w:t xml:space="preserve">, as the measurement basis. </w:t>
      </w:r>
      <w:r w:rsidR="00AA74DE">
        <w:t xml:space="preserve">The end-of-period accounts are obtained after applying the journal entries </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oMath>
      <w:r w:rsidR="00265BC9">
        <w:rPr>
          <w:iCs/>
        </w:rPr>
        <w:t xml:space="preserve">. The principal then computes the probabilities of possible performance outcomes and determines the probability of success. </w:t>
      </w:r>
      <w:r w:rsidR="001304C2">
        <w:rPr>
          <w:iCs/>
        </w:rPr>
        <w:t xml:space="preserve">Thus, the setting in Demski et al. (2008) can be represented within the same framework used to analyze the odd-cycle game (Section 3.3), with the key difference being that the agency setting introduces conflicts of interest and incentive contracting. </w:t>
      </w:r>
    </w:p>
    <w:p w14:paraId="39C5416D" w14:textId="77777777" w:rsidR="00717919" w:rsidRDefault="0071791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C39"/>
    <w:multiLevelType w:val="hybridMultilevel"/>
    <w:tmpl w:val="24263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D1C85"/>
    <w:multiLevelType w:val="hybridMultilevel"/>
    <w:tmpl w:val="C4521B08"/>
    <w:lvl w:ilvl="0" w:tplc="505649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430375"/>
    <w:multiLevelType w:val="hybridMultilevel"/>
    <w:tmpl w:val="95BCD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AA62D1"/>
    <w:multiLevelType w:val="hybridMultilevel"/>
    <w:tmpl w:val="FB7C5D06"/>
    <w:lvl w:ilvl="0" w:tplc="54C0AD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B61B4A"/>
    <w:multiLevelType w:val="hybridMultilevel"/>
    <w:tmpl w:val="30A0CE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9265532">
    <w:abstractNumId w:val="0"/>
  </w:num>
  <w:num w:numId="2" w16cid:durableId="1211263931">
    <w:abstractNumId w:val="3"/>
  </w:num>
  <w:num w:numId="3" w16cid:durableId="1224172302">
    <w:abstractNumId w:val="4"/>
  </w:num>
  <w:num w:numId="4" w16cid:durableId="2135516901">
    <w:abstractNumId w:val="1"/>
  </w:num>
  <w:num w:numId="5" w16cid:durableId="1566142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87"/>
    <w:rsid w:val="000005E2"/>
    <w:rsid w:val="00001E0E"/>
    <w:rsid w:val="00002700"/>
    <w:rsid w:val="00013BD6"/>
    <w:rsid w:val="00017B69"/>
    <w:rsid w:val="000339ED"/>
    <w:rsid w:val="00034D38"/>
    <w:rsid w:val="00043564"/>
    <w:rsid w:val="00043A30"/>
    <w:rsid w:val="000475FD"/>
    <w:rsid w:val="00051344"/>
    <w:rsid w:val="00054C8E"/>
    <w:rsid w:val="0006480F"/>
    <w:rsid w:val="000661FF"/>
    <w:rsid w:val="00066B11"/>
    <w:rsid w:val="000670DB"/>
    <w:rsid w:val="00070833"/>
    <w:rsid w:val="000734B8"/>
    <w:rsid w:val="000768E6"/>
    <w:rsid w:val="00077ECF"/>
    <w:rsid w:val="000821D0"/>
    <w:rsid w:val="0008238B"/>
    <w:rsid w:val="00082AC0"/>
    <w:rsid w:val="00090D25"/>
    <w:rsid w:val="0009418E"/>
    <w:rsid w:val="000B1A35"/>
    <w:rsid w:val="000B290B"/>
    <w:rsid w:val="000B443F"/>
    <w:rsid w:val="000B4619"/>
    <w:rsid w:val="000C6337"/>
    <w:rsid w:val="000D01D1"/>
    <w:rsid w:val="000D4DAB"/>
    <w:rsid w:val="000D7D7D"/>
    <w:rsid w:val="000D7F27"/>
    <w:rsid w:val="000E02F6"/>
    <w:rsid w:val="000E5D61"/>
    <w:rsid w:val="000F0717"/>
    <w:rsid w:val="000F234B"/>
    <w:rsid w:val="000F3C5F"/>
    <w:rsid w:val="000F4855"/>
    <w:rsid w:val="000F6F83"/>
    <w:rsid w:val="000F7777"/>
    <w:rsid w:val="00106652"/>
    <w:rsid w:val="001075BD"/>
    <w:rsid w:val="001114EA"/>
    <w:rsid w:val="001304C2"/>
    <w:rsid w:val="00135B59"/>
    <w:rsid w:val="00136F85"/>
    <w:rsid w:val="00140B54"/>
    <w:rsid w:val="0014480C"/>
    <w:rsid w:val="00150A7C"/>
    <w:rsid w:val="00156A91"/>
    <w:rsid w:val="00157C70"/>
    <w:rsid w:val="00160927"/>
    <w:rsid w:val="00166002"/>
    <w:rsid w:val="0017466D"/>
    <w:rsid w:val="00175959"/>
    <w:rsid w:val="00180AF1"/>
    <w:rsid w:val="00183E56"/>
    <w:rsid w:val="00185F97"/>
    <w:rsid w:val="00187C6A"/>
    <w:rsid w:val="001918AA"/>
    <w:rsid w:val="00193D66"/>
    <w:rsid w:val="001A4304"/>
    <w:rsid w:val="001A52AE"/>
    <w:rsid w:val="001A7688"/>
    <w:rsid w:val="001A7C61"/>
    <w:rsid w:val="001B28EE"/>
    <w:rsid w:val="001B728B"/>
    <w:rsid w:val="001C00BF"/>
    <w:rsid w:val="001C661D"/>
    <w:rsid w:val="001C68AE"/>
    <w:rsid w:val="001D1279"/>
    <w:rsid w:val="001E1337"/>
    <w:rsid w:val="001F317E"/>
    <w:rsid w:val="001F3F8C"/>
    <w:rsid w:val="001F6388"/>
    <w:rsid w:val="00201B74"/>
    <w:rsid w:val="00202A77"/>
    <w:rsid w:val="002058E5"/>
    <w:rsid w:val="002065F3"/>
    <w:rsid w:val="00211819"/>
    <w:rsid w:val="00213A38"/>
    <w:rsid w:val="00215D47"/>
    <w:rsid w:val="0022113C"/>
    <w:rsid w:val="00222154"/>
    <w:rsid w:val="00232EAF"/>
    <w:rsid w:val="00234893"/>
    <w:rsid w:val="00234898"/>
    <w:rsid w:val="00234899"/>
    <w:rsid w:val="00242C1C"/>
    <w:rsid w:val="00244403"/>
    <w:rsid w:val="0024629A"/>
    <w:rsid w:val="0024750A"/>
    <w:rsid w:val="00252EB1"/>
    <w:rsid w:val="00255D78"/>
    <w:rsid w:val="00256005"/>
    <w:rsid w:val="00257501"/>
    <w:rsid w:val="00265BC9"/>
    <w:rsid w:val="00267DDD"/>
    <w:rsid w:val="0027156B"/>
    <w:rsid w:val="00271E30"/>
    <w:rsid w:val="00272A8E"/>
    <w:rsid w:val="002731B3"/>
    <w:rsid w:val="00275927"/>
    <w:rsid w:val="002765F4"/>
    <w:rsid w:val="00277BDE"/>
    <w:rsid w:val="00280789"/>
    <w:rsid w:val="002829D6"/>
    <w:rsid w:val="002867EE"/>
    <w:rsid w:val="00291B8A"/>
    <w:rsid w:val="002972A2"/>
    <w:rsid w:val="002A0C0D"/>
    <w:rsid w:val="002A1096"/>
    <w:rsid w:val="002A5D87"/>
    <w:rsid w:val="002B4CF3"/>
    <w:rsid w:val="002B5A2D"/>
    <w:rsid w:val="002C7FDE"/>
    <w:rsid w:val="002D350D"/>
    <w:rsid w:val="002D4516"/>
    <w:rsid w:val="002E0A73"/>
    <w:rsid w:val="002E156C"/>
    <w:rsid w:val="002E1FC8"/>
    <w:rsid w:val="002F3374"/>
    <w:rsid w:val="002F4B44"/>
    <w:rsid w:val="003051C0"/>
    <w:rsid w:val="003067E5"/>
    <w:rsid w:val="00313B2A"/>
    <w:rsid w:val="00315571"/>
    <w:rsid w:val="003159B7"/>
    <w:rsid w:val="003160E8"/>
    <w:rsid w:val="00320C4A"/>
    <w:rsid w:val="00322506"/>
    <w:rsid w:val="00323904"/>
    <w:rsid w:val="00331D3D"/>
    <w:rsid w:val="00334297"/>
    <w:rsid w:val="00342B0A"/>
    <w:rsid w:val="0034437D"/>
    <w:rsid w:val="00346B08"/>
    <w:rsid w:val="00347117"/>
    <w:rsid w:val="00347286"/>
    <w:rsid w:val="003478C6"/>
    <w:rsid w:val="00351C56"/>
    <w:rsid w:val="00352201"/>
    <w:rsid w:val="0035227D"/>
    <w:rsid w:val="00361FE8"/>
    <w:rsid w:val="00367C71"/>
    <w:rsid w:val="00383020"/>
    <w:rsid w:val="00384804"/>
    <w:rsid w:val="0039120C"/>
    <w:rsid w:val="00393CD0"/>
    <w:rsid w:val="00396E9D"/>
    <w:rsid w:val="003A48F2"/>
    <w:rsid w:val="003A4E6A"/>
    <w:rsid w:val="003A5816"/>
    <w:rsid w:val="003A6446"/>
    <w:rsid w:val="003A70FA"/>
    <w:rsid w:val="003A721D"/>
    <w:rsid w:val="003B19B9"/>
    <w:rsid w:val="003B4E42"/>
    <w:rsid w:val="003B510F"/>
    <w:rsid w:val="003B5E5E"/>
    <w:rsid w:val="003C763B"/>
    <w:rsid w:val="003D242F"/>
    <w:rsid w:val="003E0C51"/>
    <w:rsid w:val="003E40C1"/>
    <w:rsid w:val="003E68F4"/>
    <w:rsid w:val="003E79FC"/>
    <w:rsid w:val="003F7137"/>
    <w:rsid w:val="00402DA1"/>
    <w:rsid w:val="00405271"/>
    <w:rsid w:val="00405F62"/>
    <w:rsid w:val="00412165"/>
    <w:rsid w:val="00426726"/>
    <w:rsid w:val="0043554F"/>
    <w:rsid w:val="00441ED3"/>
    <w:rsid w:val="00445B7F"/>
    <w:rsid w:val="00445EBB"/>
    <w:rsid w:val="00447FFC"/>
    <w:rsid w:val="00456AA2"/>
    <w:rsid w:val="00461BC1"/>
    <w:rsid w:val="004625FA"/>
    <w:rsid w:val="00463EF1"/>
    <w:rsid w:val="004646CE"/>
    <w:rsid w:val="0046537C"/>
    <w:rsid w:val="004701CB"/>
    <w:rsid w:val="00471F8C"/>
    <w:rsid w:val="0047288A"/>
    <w:rsid w:val="00473BF0"/>
    <w:rsid w:val="00475102"/>
    <w:rsid w:val="004771F1"/>
    <w:rsid w:val="00481BC4"/>
    <w:rsid w:val="0048256B"/>
    <w:rsid w:val="0049134D"/>
    <w:rsid w:val="00493B43"/>
    <w:rsid w:val="004942EF"/>
    <w:rsid w:val="00495482"/>
    <w:rsid w:val="004A087C"/>
    <w:rsid w:val="004A6873"/>
    <w:rsid w:val="004B096B"/>
    <w:rsid w:val="004B0D25"/>
    <w:rsid w:val="004B3F0C"/>
    <w:rsid w:val="004B5ABA"/>
    <w:rsid w:val="004B5F97"/>
    <w:rsid w:val="004B64AC"/>
    <w:rsid w:val="004C2E0D"/>
    <w:rsid w:val="004C4E36"/>
    <w:rsid w:val="004C4FCD"/>
    <w:rsid w:val="004C5668"/>
    <w:rsid w:val="004D1811"/>
    <w:rsid w:val="004D79A9"/>
    <w:rsid w:val="004F09D0"/>
    <w:rsid w:val="004F1982"/>
    <w:rsid w:val="004F221E"/>
    <w:rsid w:val="00500EB2"/>
    <w:rsid w:val="00503D1C"/>
    <w:rsid w:val="00503E2E"/>
    <w:rsid w:val="00507674"/>
    <w:rsid w:val="0052107F"/>
    <w:rsid w:val="00527A4F"/>
    <w:rsid w:val="0053014A"/>
    <w:rsid w:val="005318D0"/>
    <w:rsid w:val="005361BA"/>
    <w:rsid w:val="00540203"/>
    <w:rsid w:val="00544BD8"/>
    <w:rsid w:val="00550D41"/>
    <w:rsid w:val="00555580"/>
    <w:rsid w:val="00561178"/>
    <w:rsid w:val="00566FE6"/>
    <w:rsid w:val="00571F30"/>
    <w:rsid w:val="00585E4E"/>
    <w:rsid w:val="005867EA"/>
    <w:rsid w:val="005915B8"/>
    <w:rsid w:val="005A1DF2"/>
    <w:rsid w:val="005B61FF"/>
    <w:rsid w:val="005C7F40"/>
    <w:rsid w:val="005D0153"/>
    <w:rsid w:val="005D2383"/>
    <w:rsid w:val="005D3501"/>
    <w:rsid w:val="005D4086"/>
    <w:rsid w:val="005D4305"/>
    <w:rsid w:val="005D5AD6"/>
    <w:rsid w:val="005E113C"/>
    <w:rsid w:val="005E1DEB"/>
    <w:rsid w:val="005F1C36"/>
    <w:rsid w:val="00602272"/>
    <w:rsid w:val="00607775"/>
    <w:rsid w:val="00607B0B"/>
    <w:rsid w:val="006119C8"/>
    <w:rsid w:val="0061779D"/>
    <w:rsid w:val="00634C5A"/>
    <w:rsid w:val="006362D2"/>
    <w:rsid w:val="00637282"/>
    <w:rsid w:val="006517A2"/>
    <w:rsid w:val="00662A59"/>
    <w:rsid w:val="006653A9"/>
    <w:rsid w:val="00666C2F"/>
    <w:rsid w:val="006679F8"/>
    <w:rsid w:val="00681E96"/>
    <w:rsid w:val="00685266"/>
    <w:rsid w:val="00686A51"/>
    <w:rsid w:val="00691DB8"/>
    <w:rsid w:val="00691ECE"/>
    <w:rsid w:val="00693DA0"/>
    <w:rsid w:val="006A7F49"/>
    <w:rsid w:val="006C57E7"/>
    <w:rsid w:val="006D34F9"/>
    <w:rsid w:val="006D74ED"/>
    <w:rsid w:val="006E0C14"/>
    <w:rsid w:val="006E2C35"/>
    <w:rsid w:val="006E2D81"/>
    <w:rsid w:val="006E4BD0"/>
    <w:rsid w:val="006E729F"/>
    <w:rsid w:val="006F0607"/>
    <w:rsid w:val="006F0984"/>
    <w:rsid w:val="006F2B97"/>
    <w:rsid w:val="006F60A3"/>
    <w:rsid w:val="00702FA2"/>
    <w:rsid w:val="00717919"/>
    <w:rsid w:val="00717BE5"/>
    <w:rsid w:val="00720079"/>
    <w:rsid w:val="007206F0"/>
    <w:rsid w:val="00720936"/>
    <w:rsid w:val="00724299"/>
    <w:rsid w:val="007266F8"/>
    <w:rsid w:val="007327FE"/>
    <w:rsid w:val="007335A2"/>
    <w:rsid w:val="00734869"/>
    <w:rsid w:val="0073668A"/>
    <w:rsid w:val="0074246F"/>
    <w:rsid w:val="00742C27"/>
    <w:rsid w:val="00743421"/>
    <w:rsid w:val="007500F2"/>
    <w:rsid w:val="007501C5"/>
    <w:rsid w:val="00753755"/>
    <w:rsid w:val="00763DFE"/>
    <w:rsid w:val="007645C2"/>
    <w:rsid w:val="00765C61"/>
    <w:rsid w:val="00770564"/>
    <w:rsid w:val="007706D5"/>
    <w:rsid w:val="0077097A"/>
    <w:rsid w:val="0077297E"/>
    <w:rsid w:val="00773DBF"/>
    <w:rsid w:val="0079512A"/>
    <w:rsid w:val="007A0E22"/>
    <w:rsid w:val="007A30EC"/>
    <w:rsid w:val="007A4E99"/>
    <w:rsid w:val="007B0B5D"/>
    <w:rsid w:val="007B103D"/>
    <w:rsid w:val="007B18BF"/>
    <w:rsid w:val="007B4550"/>
    <w:rsid w:val="007B6E98"/>
    <w:rsid w:val="007B7EAA"/>
    <w:rsid w:val="007C01CE"/>
    <w:rsid w:val="007C0D3B"/>
    <w:rsid w:val="007D00E9"/>
    <w:rsid w:val="007D3A03"/>
    <w:rsid w:val="007D43EB"/>
    <w:rsid w:val="007E6CA3"/>
    <w:rsid w:val="0080072B"/>
    <w:rsid w:val="008007F0"/>
    <w:rsid w:val="0081069E"/>
    <w:rsid w:val="00810D35"/>
    <w:rsid w:val="00812FDF"/>
    <w:rsid w:val="0081591F"/>
    <w:rsid w:val="00817248"/>
    <w:rsid w:val="00831D1A"/>
    <w:rsid w:val="00837435"/>
    <w:rsid w:val="008432D1"/>
    <w:rsid w:val="00845150"/>
    <w:rsid w:val="00846B99"/>
    <w:rsid w:val="00850686"/>
    <w:rsid w:val="00850ADB"/>
    <w:rsid w:val="00854F8B"/>
    <w:rsid w:val="008551EB"/>
    <w:rsid w:val="00855E4E"/>
    <w:rsid w:val="00856588"/>
    <w:rsid w:val="00862E07"/>
    <w:rsid w:val="00865AC2"/>
    <w:rsid w:val="00873C39"/>
    <w:rsid w:val="008877A4"/>
    <w:rsid w:val="0089004D"/>
    <w:rsid w:val="00890FA6"/>
    <w:rsid w:val="008912CD"/>
    <w:rsid w:val="00896EE7"/>
    <w:rsid w:val="0089790D"/>
    <w:rsid w:val="008A107C"/>
    <w:rsid w:val="008A5430"/>
    <w:rsid w:val="008A6802"/>
    <w:rsid w:val="008B135A"/>
    <w:rsid w:val="008B214F"/>
    <w:rsid w:val="008B39DC"/>
    <w:rsid w:val="008B4C46"/>
    <w:rsid w:val="008B71D8"/>
    <w:rsid w:val="008C0050"/>
    <w:rsid w:val="008D0A03"/>
    <w:rsid w:val="008D4CF7"/>
    <w:rsid w:val="008D5E28"/>
    <w:rsid w:val="008D63E8"/>
    <w:rsid w:val="008E04B6"/>
    <w:rsid w:val="008E146D"/>
    <w:rsid w:val="008E15D2"/>
    <w:rsid w:val="008E228B"/>
    <w:rsid w:val="008E4FC9"/>
    <w:rsid w:val="008F2C0B"/>
    <w:rsid w:val="008F45F8"/>
    <w:rsid w:val="008F5313"/>
    <w:rsid w:val="008F6989"/>
    <w:rsid w:val="009005E5"/>
    <w:rsid w:val="0090738F"/>
    <w:rsid w:val="0091069D"/>
    <w:rsid w:val="009116CE"/>
    <w:rsid w:val="00915140"/>
    <w:rsid w:val="00916292"/>
    <w:rsid w:val="009164AD"/>
    <w:rsid w:val="0092320E"/>
    <w:rsid w:val="00925B3F"/>
    <w:rsid w:val="00945857"/>
    <w:rsid w:val="00945A32"/>
    <w:rsid w:val="0094613A"/>
    <w:rsid w:val="00955BCC"/>
    <w:rsid w:val="00955F59"/>
    <w:rsid w:val="00960077"/>
    <w:rsid w:val="0096078A"/>
    <w:rsid w:val="009648C4"/>
    <w:rsid w:val="009659C5"/>
    <w:rsid w:val="00966D66"/>
    <w:rsid w:val="00970E81"/>
    <w:rsid w:val="00973241"/>
    <w:rsid w:val="00974266"/>
    <w:rsid w:val="00981BED"/>
    <w:rsid w:val="00982CC8"/>
    <w:rsid w:val="00984AA9"/>
    <w:rsid w:val="00987BFC"/>
    <w:rsid w:val="00992068"/>
    <w:rsid w:val="00992F06"/>
    <w:rsid w:val="00993533"/>
    <w:rsid w:val="0099572A"/>
    <w:rsid w:val="0099710C"/>
    <w:rsid w:val="009A234C"/>
    <w:rsid w:val="009A6EA0"/>
    <w:rsid w:val="009A76BE"/>
    <w:rsid w:val="009B388B"/>
    <w:rsid w:val="009B4BB3"/>
    <w:rsid w:val="009C19E8"/>
    <w:rsid w:val="009D235F"/>
    <w:rsid w:val="009D27CF"/>
    <w:rsid w:val="009D6B11"/>
    <w:rsid w:val="009D7B72"/>
    <w:rsid w:val="009E3E2D"/>
    <w:rsid w:val="009E4792"/>
    <w:rsid w:val="009F18B5"/>
    <w:rsid w:val="009F33FC"/>
    <w:rsid w:val="00A0007F"/>
    <w:rsid w:val="00A03B40"/>
    <w:rsid w:val="00A05F1D"/>
    <w:rsid w:val="00A15269"/>
    <w:rsid w:val="00A26D33"/>
    <w:rsid w:val="00A279F8"/>
    <w:rsid w:val="00A31B9D"/>
    <w:rsid w:val="00A33C68"/>
    <w:rsid w:val="00A3400F"/>
    <w:rsid w:val="00A3426B"/>
    <w:rsid w:val="00A34C04"/>
    <w:rsid w:val="00A40933"/>
    <w:rsid w:val="00A40C41"/>
    <w:rsid w:val="00A42981"/>
    <w:rsid w:val="00A43BE3"/>
    <w:rsid w:val="00A4429C"/>
    <w:rsid w:val="00A46418"/>
    <w:rsid w:val="00A51EC1"/>
    <w:rsid w:val="00A5340C"/>
    <w:rsid w:val="00A556C3"/>
    <w:rsid w:val="00A60E62"/>
    <w:rsid w:val="00A66195"/>
    <w:rsid w:val="00A66CAD"/>
    <w:rsid w:val="00A67175"/>
    <w:rsid w:val="00A67719"/>
    <w:rsid w:val="00A7268D"/>
    <w:rsid w:val="00A73EEC"/>
    <w:rsid w:val="00A82004"/>
    <w:rsid w:val="00A831C0"/>
    <w:rsid w:val="00A83C1D"/>
    <w:rsid w:val="00A91901"/>
    <w:rsid w:val="00A91F6F"/>
    <w:rsid w:val="00A92D76"/>
    <w:rsid w:val="00A958F0"/>
    <w:rsid w:val="00A959AC"/>
    <w:rsid w:val="00AA0B4F"/>
    <w:rsid w:val="00AA4C5E"/>
    <w:rsid w:val="00AA6D92"/>
    <w:rsid w:val="00AA74DE"/>
    <w:rsid w:val="00AB09B4"/>
    <w:rsid w:val="00AB1F17"/>
    <w:rsid w:val="00AB2986"/>
    <w:rsid w:val="00AB4006"/>
    <w:rsid w:val="00AB4F02"/>
    <w:rsid w:val="00AB4F11"/>
    <w:rsid w:val="00AB57D6"/>
    <w:rsid w:val="00AB715C"/>
    <w:rsid w:val="00AC03F7"/>
    <w:rsid w:val="00AC1539"/>
    <w:rsid w:val="00AC2890"/>
    <w:rsid w:val="00AC5E06"/>
    <w:rsid w:val="00AD130B"/>
    <w:rsid w:val="00AD150B"/>
    <w:rsid w:val="00AD71AC"/>
    <w:rsid w:val="00AE538B"/>
    <w:rsid w:val="00AF1282"/>
    <w:rsid w:val="00AF149F"/>
    <w:rsid w:val="00AF4E1A"/>
    <w:rsid w:val="00B047F1"/>
    <w:rsid w:val="00B10046"/>
    <w:rsid w:val="00B10956"/>
    <w:rsid w:val="00B124A1"/>
    <w:rsid w:val="00B22EA9"/>
    <w:rsid w:val="00B23A16"/>
    <w:rsid w:val="00B256D2"/>
    <w:rsid w:val="00B30CA6"/>
    <w:rsid w:val="00B327CB"/>
    <w:rsid w:val="00B34135"/>
    <w:rsid w:val="00B3453E"/>
    <w:rsid w:val="00B41105"/>
    <w:rsid w:val="00B4296E"/>
    <w:rsid w:val="00B46EC9"/>
    <w:rsid w:val="00B4774E"/>
    <w:rsid w:val="00B51EA9"/>
    <w:rsid w:val="00B54F6E"/>
    <w:rsid w:val="00B63C44"/>
    <w:rsid w:val="00B645D8"/>
    <w:rsid w:val="00B67CD2"/>
    <w:rsid w:val="00B7201A"/>
    <w:rsid w:val="00B759D6"/>
    <w:rsid w:val="00B76499"/>
    <w:rsid w:val="00B7698A"/>
    <w:rsid w:val="00B811C2"/>
    <w:rsid w:val="00B82523"/>
    <w:rsid w:val="00B84EEC"/>
    <w:rsid w:val="00B8641E"/>
    <w:rsid w:val="00B86D59"/>
    <w:rsid w:val="00B87011"/>
    <w:rsid w:val="00BA00BF"/>
    <w:rsid w:val="00BA2859"/>
    <w:rsid w:val="00BA37D1"/>
    <w:rsid w:val="00BA4867"/>
    <w:rsid w:val="00BC0D34"/>
    <w:rsid w:val="00BC2F74"/>
    <w:rsid w:val="00BC5EA8"/>
    <w:rsid w:val="00BC6E54"/>
    <w:rsid w:val="00BD40BD"/>
    <w:rsid w:val="00BD70BC"/>
    <w:rsid w:val="00BE21F0"/>
    <w:rsid w:val="00BF26BB"/>
    <w:rsid w:val="00BF50BB"/>
    <w:rsid w:val="00BF5BEB"/>
    <w:rsid w:val="00C02F65"/>
    <w:rsid w:val="00C034EF"/>
    <w:rsid w:val="00C06448"/>
    <w:rsid w:val="00C13CF6"/>
    <w:rsid w:val="00C15164"/>
    <w:rsid w:val="00C15C6C"/>
    <w:rsid w:val="00C21E1D"/>
    <w:rsid w:val="00C23C57"/>
    <w:rsid w:val="00C2409D"/>
    <w:rsid w:val="00C306D9"/>
    <w:rsid w:val="00C30A49"/>
    <w:rsid w:val="00C30CBC"/>
    <w:rsid w:val="00C3431A"/>
    <w:rsid w:val="00C42044"/>
    <w:rsid w:val="00C5256A"/>
    <w:rsid w:val="00C56042"/>
    <w:rsid w:val="00C64541"/>
    <w:rsid w:val="00C71954"/>
    <w:rsid w:val="00C82EC5"/>
    <w:rsid w:val="00C84D41"/>
    <w:rsid w:val="00C8556E"/>
    <w:rsid w:val="00C873BB"/>
    <w:rsid w:val="00C92BEB"/>
    <w:rsid w:val="00C944EE"/>
    <w:rsid w:val="00C96519"/>
    <w:rsid w:val="00CA50DC"/>
    <w:rsid w:val="00CA540E"/>
    <w:rsid w:val="00CA6C78"/>
    <w:rsid w:val="00CB1D55"/>
    <w:rsid w:val="00CB37E4"/>
    <w:rsid w:val="00CB3BC2"/>
    <w:rsid w:val="00CB5FA6"/>
    <w:rsid w:val="00CB62DC"/>
    <w:rsid w:val="00CB7592"/>
    <w:rsid w:val="00CB7637"/>
    <w:rsid w:val="00CC26CC"/>
    <w:rsid w:val="00CC2C78"/>
    <w:rsid w:val="00CD00F1"/>
    <w:rsid w:val="00CD061A"/>
    <w:rsid w:val="00CD15D1"/>
    <w:rsid w:val="00CD4362"/>
    <w:rsid w:val="00CD4A17"/>
    <w:rsid w:val="00CD4B16"/>
    <w:rsid w:val="00CD4D12"/>
    <w:rsid w:val="00CD6D5D"/>
    <w:rsid w:val="00CE10EF"/>
    <w:rsid w:val="00CF2AF6"/>
    <w:rsid w:val="00CF3BD6"/>
    <w:rsid w:val="00CF5E4F"/>
    <w:rsid w:val="00CF6C1B"/>
    <w:rsid w:val="00D00904"/>
    <w:rsid w:val="00D0261B"/>
    <w:rsid w:val="00D039A8"/>
    <w:rsid w:val="00D07EDB"/>
    <w:rsid w:val="00D1567C"/>
    <w:rsid w:val="00D175C4"/>
    <w:rsid w:val="00D22DA1"/>
    <w:rsid w:val="00D2532D"/>
    <w:rsid w:val="00D267A2"/>
    <w:rsid w:val="00D26E2F"/>
    <w:rsid w:val="00D3218A"/>
    <w:rsid w:val="00D360C1"/>
    <w:rsid w:val="00D375F7"/>
    <w:rsid w:val="00D440C3"/>
    <w:rsid w:val="00D4602E"/>
    <w:rsid w:val="00D46A42"/>
    <w:rsid w:val="00D46FC7"/>
    <w:rsid w:val="00D52F17"/>
    <w:rsid w:val="00D54E44"/>
    <w:rsid w:val="00D60C83"/>
    <w:rsid w:val="00D64DC4"/>
    <w:rsid w:val="00D67485"/>
    <w:rsid w:val="00D80963"/>
    <w:rsid w:val="00D842D2"/>
    <w:rsid w:val="00D84A82"/>
    <w:rsid w:val="00D87031"/>
    <w:rsid w:val="00D90A10"/>
    <w:rsid w:val="00DA0C7F"/>
    <w:rsid w:val="00DA55E6"/>
    <w:rsid w:val="00DA6ACD"/>
    <w:rsid w:val="00DA7D2D"/>
    <w:rsid w:val="00DB48CE"/>
    <w:rsid w:val="00DC08BE"/>
    <w:rsid w:val="00DC45F6"/>
    <w:rsid w:val="00DC5277"/>
    <w:rsid w:val="00DC7018"/>
    <w:rsid w:val="00DD0AB0"/>
    <w:rsid w:val="00DD0C57"/>
    <w:rsid w:val="00DD648E"/>
    <w:rsid w:val="00DE44D1"/>
    <w:rsid w:val="00DE648F"/>
    <w:rsid w:val="00E011C1"/>
    <w:rsid w:val="00E01785"/>
    <w:rsid w:val="00E0192C"/>
    <w:rsid w:val="00E04948"/>
    <w:rsid w:val="00E06DBC"/>
    <w:rsid w:val="00E07E52"/>
    <w:rsid w:val="00E07F46"/>
    <w:rsid w:val="00E110C4"/>
    <w:rsid w:val="00E12EBD"/>
    <w:rsid w:val="00E16CA4"/>
    <w:rsid w:val="00E17C56"/>
    <w:rsid w:val="00E22900"/>
    <w:rsid w:val="00E23EE9"/>
    <w:rsid w:val="00E27584"/>
    <w:rsid w:val="00E45014"/>
    <w:rsid w:val="00E454C8"/>
    <w:rsid w:val="00E4610F"/>
    <w:rsid w:val="00E4674E"/>
    <w:rsid w:val="00E47A71"/>
    <w:rsid w:val="00E5020A"/>
    <w:rsid w:val="00E50D24"/>
    <w:rsid w:val="00E66510"/>
    <w:rsid w:val="00E71A36"/>
    <w:rsid w:val="00E72117"/>
    <w:rsid w:val="00E76E8F"/>
    <w:rsid w:val="00E8414E"/>
    <w:rsid w:val="00E849CF"/>
    <w:rsid w:val="00E84A10"/>
    <w:rsid w:val="00E91D62"/>
    <w:rsid w:val="00EA1FD3"/>
    <w:rsid w:val="00EA2CC1"/>
    <w:rsid w:val="00EA4EB5"/>
    <w:rsid w:val="00EB2B24"/>
    <w:rsid w:val="00EB3BC4"/>
    <w:rsid w:val="00EB3D25"/>
    <w:rsid w:val="00EB5656"/>
    <w:rsid w:val="00EB5DCE"/>
    <w:rsid w:val="00EB6903"/>
    <w:rsid w:val="00EB79D8"/>
    <w:rsid w:val="00EC0068"/>
    <w:rsid w:val="00EC007E"/>
    <w:rsid w:val="00EC24BA"/>
    <w:rsid w:val="00EC5988"/>
    <w:rsid w:val="00ED2841"/>
    <w:rsid w:val="00ED665A"/>
    <w:rsid w:val="00EE03CA"/>
    <w:rsid w:val="00EE6F57"/>
    <w:rsid w:val="00EF0363"/>
    <w:rsid w:val="00EF1051"/>
    <w:rsid w:val="00EF20AB"/>
    <w:rsid w:val="00EF2D5D"/>
    <w:rsid w:val="00EF3DB1"/>
    <w:rsid w:val="00EF4227"/>
    <w:rsid w:val="00EF493A"/>
    <w:rsid w:val="00F07904"/>
    <w:rsid w:val="00F16156"/>
    <w:rsid w:val="00F2283F"/>
    <w:rsid w:val="00F22BEF"/>
    <w:rsid w:val="00F22F4B"/>
    <w:rsid w:val="00F24E4F"/>
    <w:rsid w:val="00F26A56"/>
    <w:rsid w:val="00F322A2"/>
    <w:rsid w:val="00F40828"/>
    <w:rsid w:val="00F411EC"/>
    <w:rsid w:val="00F41588"/>
    <w:rsid w:val="00F42119"/>
    <w:rsid w:val="00F4535D"/>
    <w:rsid w:val="00F5033D"/>
    <w:rsid w:val="00F51930"/>
    <w:rsid w:val="00F52061"/>
    <w:rsid w:val="00F5707F"/>
    <w:rsid w:val="00F65967"/>
    <w:rsid w:val="00F65B95"/>
    <w:rsid w:val="00F67509"/>
    <w:rsid w:val="00F701FB"/>
    <w:rsid w:val="00F732B5"/>
    <w:rsid w:val="00F73E3B"/>
    <w:rsid w:val="00F824AC"/>
    <w:rsid w:val="00F84AAF"/>
    <w:rsid w:val="00F906A5"/>
    <w:rsid w:val="00F94BEA"/>
    <w:rsid w:val="00FA5F2C"/>
    <w:rsid w:val="00FB38BF"/>
    <w:rsid w:val="00FB4428"/>
    <w:rsid w:val="00FB5A83"/>
    <w:rsid w:val="00FC1523"/>
    <w:rsid w:val="00FC3AFB"/>
    <w:rsid w:val="00FC3C61"/>
    <w:rsid w:val="00FC3FC3"/>
    <w:rsid w:val="00FD226C"/>
    <w:rsid w:val="00FD2670"/>
    <w:rsid w:val="00FD46A2"/>
    <w:rsid w:val="00FD58D4"/>
    <w:rsid w:val="00FD6310"/>
    <w:rsid w:val="00FE37C6"/>
    <w:rsid w:val="00FE776B"/>
    <w:rsid w:val="00FF2D9C"/>
    <w:rsid w:val="00FF3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4D34"/>
  <w15:chartTrackingRefBased/>
  <w15:docId w15:val="{6D0B1301-7DDF-453D-B250-A59D1945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D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D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D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D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D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D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D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D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D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D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D87"/>
    <w:rPr>
      <w:rFonts w:eastAsiaTheme="majorEastAsia" w:cstheme="majorBidi"/>
      <w:color w:val="272727" w:themeColor="text1" w:themeTint="D8"/>
    </w:rPr>
  </w:style>
  <w:style w:type="paragraph" w:styleId="Title">
    <w:name w:val="Title"/>
    <w:basedOn w:val="Normal"/>
    <w:next w:val="Normal"/>
    <w:link w:val="TitleChar"/>
    <w:uiPriority w:val="10"/>
    <w:qFormat/>
    <w:rsid w:val="002A5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D87"/>
    <w:pPr>
      <w:spacing w:before="160"/>
      <w:jc w:val="center"/>
    </w:pPr>
    <w:rPr>
      <w:i/>
      <w:iCs/>
      <w:color w:val="404040" w:themeColor="text1" w:themeTint="BF"/>
    </w:rPr>
  </w:style>
  <w:style w:type="character" w:customStyle="1" w:styleId="QuoteChar">
    <w:name w:val="Quote Char"/>
    <w:basedOn w:val="DefaultParagraphFont"/>
    <w:link w:val="Quote"/>
    <w:uiPriority w:val="29"/>
    <w:rsid w:val="002A5D87"/>
    <w:rPr>
      <w:i/>
      <w:iCs/>
      <w:color w:val="404040" w:themeColor="text1" w:themeTint="BF"/>
    </w:rPr>
  </w:style>
  <w:style w:type="paragraph" w:styleId="ListParagraph">
    <w:name w:val="List Paragraph"/>
    <w:basedOn w:val="Normal"/>
    <w:uiPriority w:val="34"/>
    <w:qFormat/>
    <w:rsid w:val="002A5D87"/>
    <w:pPr>
      <w:ind w:left="720"/>
      <w:contextualSpacing/>
    </w:pPr>
  </w:style>
  <w:style w:type="character" w:styleId="IntenseEmphasis">
    <w:name w:val="Intense Emphasis"/>
    <w:basedOn w:val="DefaultParagraphFont"/>
    <w:uiPriority w:val="21"/>
    <w:qFormat/>
    <w:rsid w:val="002A5D87"/>
    <w:rPr>
      <w:i/>
      <w:iCs/>
      <w:color w:val="2F5496" w:themeColor="accent1" w:themeShade="BF"/>
    </w:rPr>
  </w:style>
  <w:style w:type="paragraph" w:styleId="IntenseQuote">
    <w:name w:val="Intense Quote"/>
    <w:basedOn w:val="Normal"/>
    <w:next w:val="Normal"/>
    <w:link w:val="IntenseQuoteChar"/>
    <w:uiPriority w:val="30"/>
    <w:qFormat/>
    <w:rsid w:val="002A5D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D87"/>
    <w:rPr>
      <w:i/>
      <w:iCs/>
      <w:color w:val="2F5496" w:themeColor="accent1" w:themeShade="BF"/>
    </w:rPr>
  </w:style>
  <w:style w:type="character" w:styleId="IntenseReference">
    <w:name w:val="Intense Reference"/>
    <w:basedOn w:val="DefaultParagraphFont"/>
    <w:uiPriority w:val="32"/>
    <w:qFormat/>
    <w:rsid w:val="002A5D87"/>
    <w:rPr>
      <w:b/>
      <w:bCs/>
      <w:smallCaps/>
      <w:color w:val="2F5496" w:themeColor="accent1" w:themeShade="BF"/>
      <w:spacing w:val="5"/>
    </w:rPr>
  </w:style>
  <w:style w:type="paragraph" w:styleId="Header">
    <w:name w:val="header"/>
    <w:basedOn w:val="Normal"/>
    <w:link w:val="HeaderChar"/>
    <w:uiPriority w:val="99"/>
    <w:unhideWhenUsed/>
    <w:rsid w:val="00291B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B8A"/>
  </w:style>
  <w:style w:type="paragraph" w:styleId="Footer">
    <w:name w:val="footer"/>
    <w:basedOn w:val="Normal"/>
    <w:link w:val="FooterChar"/>
    <w:uiPriority w:val="99"/>
    <w:unhideWhenUsed/>
    <w:rsid w:val="00291B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B8A"/>
  </w:style>
  <w:style w:type="character" w:styleId="PlaceholderText">
    <w:name w:val="Placeholder Text"/>
    <w:basedOn w:val="DefaultParagraphFont"/>
    <w:uiPriority w:val="99"/>
    <w:semiHidden/>
    <w:rsid w:val="0089790D"/>
    <w:rPr>
      <w:color w:val="666666"/>
    </w:rPr>
  </w:style>
  <w:style w:type="paragraph" w:styleId="FootnoteText">
    <w:name w:val="footnote text"/>
    <w:basedOn w:val="Normal"/>
    <w:link w:val="FootnoteTextChar"/>
    <w:uiPriority w:val="99"/>
    <w:unhideWhenUsed/>
    <w:rsid w:val="00493B43"/>
    <w:pPr>
      <w:spacing w:after="0" w:line="240" w:lineRule="auto"/>
    </w:pPr>
    <w:rPr>
      <w:sz w:val="20"/>
      <w:szCs w:val="20"/>
    </w:rPr>
  </w:style>
  <w:style w:type="character" w:customStyle="1" w:styleId="FootnoteTextChar">
    <w:name w:val="Footnote Text Char"/>
    <w:basedOn w:val="DefaultParagraphFont"/>
    <w:link w:val="FootnoteText"/>
    <w:uiPriority w:val="99"/>
    <w:rsid w:val="00493B43"/>
    <w:rPr>
      <w:sz w:val="20"/>
      <w:szCs w:val="20"/>
    </w:rPr>
  </w:style>
  <w:style w:type="character" w:styleId="FootnoteReference">
    <w:name w:val="footnote reference"/>
    <w:basedOn w:val="DefaultParagraphFont"/>
    <w:uiPriority w:val="99"/>
    <w:semiHidden/>
    <w:unhideWhenUsed/>
    <w:rsid w:val="00493B43"/>
    <w:rPr>
      <w:vertAlign w:val="superscript"/>
    </w:rPr>
  </w:style>
  <w:style w:type="character" w:styleId="Hyperlink">
    <w:name w:val="Hyperlink"/>
    <w:basedOn w:val="DefaultParagraphFont"/>
    <w:uiPriority w:val="99"/>
    <w:unhideWhenUsed/>
    <w:rsid w:val="0094613A"/>
    <w:rPr>
      <w:color w:val="0563C1" w:themeColor="hyperlink"/>
      <w:u w:val="single"/>
    </w:rPr>
  </w:style>
  <w:style w:type="character" w:styleId="UnresolvedMention">
    <w:name w:val="Unresolved Mention"/>
    <w:basedOn w:val="DefaultParagraphFont"/>
    <w:uiPriority w:val="99"/>
    <w:semiHidden/>
    <w:unhideWhenUsed/>
    <w:rsid w:val="00946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quant-ph/030104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mitsloan.mit.edu/ideas-made-to-matter/quantum-computing-reality-check-what-business-needs-to-know-now" TargetMode="External"/><Relationship Id="rId4" Type="http://schemas.openxmlformats.org/officeDocument/2006/relationships/settings" Target="settings.xml"/><Relationship Id="rId9" Type="http://schemas.openxmlformats.org/officeDocument/2006/relationships/hyperlink" Target="https://bpb-us-w2.wpmucdn.com/u.osu.edu/dist/5/39171/files/2016/10/Fellinghambook-with-rev-8-2bof2wx.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7BCDF-2FDB-492F-8364-557BD81F3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6166</Words>
  <Characters>35151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Haijin</dc:creator>
  <cp:keywords/>
  <dc:description/>
  <cp:lastModifiedBy>Lin, Haijin</cp:lastModifiedBy>
  <cp:revision>2</cp:revision>
  <cp:lastPrinted>2026-06-10T04:46:00Z</cp:lastPrinted>
  <dcterms:created xsi:type="dcterms:W3CDTF">2026-06-11T04:28:00Z</dcterms:created>
  <dcterms:modified xsi:type="dcterms:W3CDTF">2026-06-11T04:28:00Z</dcterms:modified>
</cp:coreProperties>
</file>