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F4761"/>
          <w:sz w:val="56"/>
        </w:rPr>
        <w:t>Structured Gold Forward</w:t>
        <w:br/>
        <w:t>with Knock-Out Barriers</w:t>
      </w:r>
    </w:p>
    <w:p/>
    <w:p>
      <w:pPr>
        <w:jc w:val="center"/>
      </w:pPr>
      <w:r>
        <w:rPr>
          <w:rFonts w:ascii="Calibri" w:hAnsi="Calibri"/>
          <w:color w:val="555555"/>
          <w:sz w:val="28"/>
        </w:rPr>
        <w:t>Product Development Memorandum</w:t>
      </w:r>
    </w:p>
    <w:p/>
    <w:p>
      <w:pPr>
        <w:jc w:val="center"/>
      </w:pPr>
      <w:r>
        <w:rPr>
          <w:rFonts w:ascii="Calibri" w:hAnsi="Calibri"/>
          <w:sz w:val="28"/>
        </w:rPr>
        <w:t>Derivatives Structuring Desk</w:t>
      </w:r>
    </w:p>
    <w:p/>
    <w:p>
      <w:pPr>
        <w:jc w:val="center"/>
      </w:pPr>
      <w:r>
        <w:rPr>
          <w:rFonts w:ascii="Calibri" w:hAnsi="Calibri"/>
          <w:b/>
          <w:sz w:val="28"/>
        </w:rPr>
        <w:t>February 2026</w:t>
      </w:r>
    </w:p>
    <w:p/>
    <w:p/>
    <w:p/>
    <w:p/>
    <w:p>
      <w:pPr>
        <w:jc w:val="center"/>
      </w:pPr>
      <w:r>
        <w:rPr>
          <w:color w:val="555555"/>
          <w:sz w:val="24"/>
        </w:rPr>
        <w:t>Prepared By: Ricky Sun / ULTIPA</w:t>
      </w:r>
    </w:p>
    <w:p>
      <w:r>
        <w:br w:type="page"/>
      </w:r>
    </w:p>
    <w:p>
      <w:r>
        <w:rPr>
          <w:b/>
          <w:sz w:val="24"/>
        </w:rPr>
        <w:t>CONFIDENTIAL</w:t>
      </w:r>
    </w:p>
    <w:p/>
    <w:p>
      <w:r>
        <w:rPr>
          <w:b/>
          <w:sz w:val="22"/>
        </w:rPr>
        <w:t xml:space="preserve">TO: </w:t>
      </w:r>
      <w:r>
        <w:rPr>
          <w:sz w:val="22"/>
        </w:rPr>
        <w:t>Product Committee, Alphabank S.A.</w:t>
      </w:r>
    </w:p>
    <w:p>
      <w:r>
        <w:rPr>
          <w:b/>
          <w:sz w:val="22"/>
        </w:rPr>
        <w:t xml:space="preserve">FROM: </w:t>
      </w:r>
      <w:r>
        <w:rPr>
          <w:sz w:val="22"/>
        </w:rPr>
        <w:t>Derivatives Structuring Desk</w:t>
      </w:r>
    </w:p>
    <w:p>
      <w:r>
        <w:rPr>
          <w:b/>
          <w:sz w:val="22"/>
        </w:rPr>
        <w:t xml:space="preserve">DATE: </w:t>
      </w:r>
      <w:r>
        <w:rPr>
          <w:sz w:val="22"/>
        </w:rPr>
        <w:t>February 2026</w:t>
      </w:r>
    </w:p>
    <w:p>
      <w:r>
        <w:rPr>
          <w:b/>
          <w:sz w:val="22"/>
        </w:rPr>
        <w:t xml:space="preserve">RE: </w:t>
      </w:r>
      <w:r>
        <w:rPr>
          <w:sz w:val="22"/>
        </w:rPr>
        <w:t>Pricing and Risk Analysis — Zeus Gold Group AG Hedging Facility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b/>
          <w:color w:val="C05000"/>
          <w:sz w:val="22"/>
        </w:rPr>
        <w:t>MARKET UPDATE — February 26, 2026</w:t>
      </w:r>
    </w:p>
    <w:p>
      <w:r>
        <w:rPr>
          <w:rFonts w:ascii="Calibri" w:hAnsi="Calibri"/>
          <w:b w:val="0"/>
          <w:i w:val="0"/>
          <w:sz w:val="22"/>
        </w:rPr>
        <w:t>This memorandum has been updated with market data as of February 26, 2026. Gold has moved to $5,203/oz (from $4,900 on Feb 1), EUR/USD to 1.181, and realized gold volatility has risen to 41%. The position reversal is now firmly established with Z Group PV at EUR +64M.</w:t>
      </w:r>
    </w:p>
    <w:p/>
    <w:p>
      <w:pPr>
        <w:pStyle w:val="Heading1"/>
      </w:pPr>
      <w:r>
        <w:t>Executive Summary</w:t>
      </w:r>
    </w:p>
    <w:p>
      <w:r>
        <w:rPr>
          <w:rFonts w:ascii="Calibri" w:hAnsi="Calibri"/>
          <w:b w:val="0"/>
          <w:i w:val="0"/>
          <w:sz w:val="22"/>
        </w:rPr>
        <w:t>This memorandum presents our analysis of a proposed structured hedging facility for Zeus Gold Group AG (“Z Group”). The product combines exposure to LBMA gold prices with automatic termination features linked to EUR/USD exchange rate movements.</w:t>
      </w:r>
    </w:p>
    <w:p>
      <w:r>
        <w:rPr>
          <w:rFonts w:ascii="Calibri" w:hAnsi="Calibri"/>
          <w:b w:val="0"/>
          <w:i w:val="0"/>
          <w:sz w:val="22"/>
        </w:rPr>
        <w:t>We have developed a comprehensive pricing framework validated through multiple methodologies. Our analysis identifies several structural considerations that warrant discussion before proceeding to term sheet finalization.</w:t>
      </w:r>
    </w:p>
    <w:p>
      <w:r>
        <w:rPr>
          <w:rFonts w:ascii="Calibri" w:hAnsi="Calibri"/>
          <w:b/>
          <w:i w:val="0"/>
          <w:sz w:val="22"/>
        </w:rPr>
        <w:t>Transaction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Notional Principal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500,000,000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Reference Asset</w:t>
            </w:r>
          </w:p>
        </w:tc>
        <w:tc>
          <w:tcPr>
            <w:tcW w:type="dxa" w:w="57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LBMA Gold PM Fixing (USD/oz)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Strike Price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USD 4,600 per troy ounce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Tenor</w:t>
            </w:r>
          </w:p>
        </w:tc>
        <w:tc>
          <w:tcPr>
            <w:tcW w:type="dxa" w:w="57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 years (March 2026 — February 2028)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Knock-Out Barriers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EUR/USD &lt; 1.05 or EUR/USD &gt; 1.25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Settlement</w:t>
            </w:r>
          </w:p>
        </w:tc>
        <w:tc>
          <w:tcPr>
            <w:tcW w:type="dxa" w:w="57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Cash settled in EUR at prevailing EUR/USD rate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 Group Present Value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+64 million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Alphabank Present Value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−64 million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Knock-Out Probability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64%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Expected Contract Duration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12 months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Forward Moneyness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113.1%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The positive present value for Z Group reflects gold’s surge above the strike price, placing the forward at 113% moneyness. The 64% knock-out probability is driven primarily by the upper barrier’s proximity to current EUR/USD spot (5.8% distance), representing a fundamental reversal from earlier market conditions where the lower barrier dominated.</w:t>
      </w:r>
    </w:p>
    <w:p>
      <w:pPr>
        <w:pStyle w:val="Heading1"/>
      </w:pPr>
      <w:r>
        <w:rPr>
          <w:color w:val="0F4761"/>
        </w:rPr>
        <w:t>1</w:t>
        <w:tab/>
        <w:t>Transaction Overview</w:t>
      </w:r>
    </w:p>
    <w:p>
      <w:r>
        <w:rPr>
          <w:rFonts w:ascii="Calibri" w:hAnsi="Calibri"/>
          <w:b w:val="0"/>
          <w:i w:val="0"/>
          <w:sz w:val="22"/>
        </w:rPr>
        <w:t>Zeus Gold Group, a Frankfurt-headquartered jewelry manufacturer, seeks to hedge its USD-denominated gold procurement costs while managing EUR/USD translation risk. The proposed facility would run for two years commencing March 2026.</w:t>
      </w:r>
    </w:p>
    <w:p>
      <w:pPr>
        <w:pStyle w:val="Heading2"/>
      </w:pPr>
      <w:r>
        <w:rPr>
          <w:color w:val="0F4761"/>
        </w:rPr>
        <w:t>1.1</w:t>
        <w:tab/>
        <w:t>Settlement Mechanics</w:t>
      </w:r>
    </w:p>
    <w:p>
      <w:r>
        <w:rPr>
          <w:rFonts w:ascii="Calibri" w:hAnsi="Calibri"/>
          <w:b w:val="0"/>
          <w:i w:val="0"/>
          <w:sz w:val="22"/>
        </w:rPr>
        <w:t>At settlement time τ (maturity or knock-out, whichever occurs first), with LBMA gold fixing at price P:</w:t>
      </w:r>
    </w:p>
    <w:p>
      <w:pPr>
        <w:ind w:left="720"/>
      </w:pPr>
      <w:r>
        <w:rPr>
          <w:rFonts w:ascii="Cambria Math" w:hAnsi="Cambria Math"/>
          <w:i/>
          <w:sz w:val="21"/>
        </w:rPr>
        <w:t>Z Group Payoff = N × (Pτ − K) / K</w:t>
      </w:r>
    </w:p>
    <w:p>
      <w:pPr>
        <w:ind w:left="720"/>
      </w:pPr>
      <w:r>
        <w:rPr>
          <w:rFonts w:ascii="Cambria Math" w:hAnsi="Cambria Math"/>
          <w:i/>
          <w:sz w:val="21"/>
        </w:rPr>
        <w:t>Alphabank Payoff = N × (K − Pτ) / K</w:t>
      </w:r>
    </w:p>
    <w:p>
      <w:r>
        <w:rPr>
          <w:rFonts w:ascii="Calibri" w:hAnsi="Calibri"/>
          <w:b w:val="0"/>
          <w:i w:val="0"/>
          <w:sz w:val="22"/>
        </w:rPr>
        <w:t>where:</w:t>
      </w:r>
    </w:p>
    <w:p>
      <w:r>
        <w:rPr>
          <w:rFonts w:ascii="Calibri" w:hAnsi="Calibri"/>
          <w:b w:val="0"/>
          <w:i w:val="0"/>
          <w:sz w:val="22"/>
        </w:rPr>
        <w:t>•  N = 500,000,000 EUR (notional principal)</w:t>
      </w:r>
    </w:p>
    <w:p>
      <w:r>
        <w:rPr>
          <w:rFonts w:ascii="Calibri" w:hAnsi="Calibri"/>
          <w:b w:val="0"/>
          <w:i w:val="0"/>
          <w:sz w:val="22"/>
        </w:rPr>
        <w:t>•  K = 4,600 USD/oz (strike price)</w:t>
      </w:r>
    </w:p>
    <w:p>
      <w:r>
        <w:rPr>
          <w:rFonts w:ascii="Calibri" w:hAnsi="Calibri"/>
          <w:b w:val="0"/>
          <w:i w:val="0"/>
          <w:sz w:val="22"/>
        </w:rPr>
        <w:t>•  Pτ = LBMA Gold PM fixing at settlement</w:t>
      </w:r>
    </w:p>
    <w:p>
      <w:pPr>
        <w:pStyle w:val="Heading2"/>
      </w:pPr>
      <w:r>
        <w:rPr>
          <w:color w:val="0F4761"/>
        </w:rPr>
        <w:t>1.2</w:t>
        <w:tab/>
        <w:t>Knock-Out Mechanism</w:t>
      </w:r>
    </w:p>
    <w:p>
      <w:r>
        <w:rPr>
          <w:rFonts w:ascii="Calibri" w:hAnsi="Calibri"/>
          <w:b w:val="0"/>
          <w:i w:val="0"/>
          <w:sz w:val="22"/>
        </w:rPr>
        <w:t>The contract terminates immediately upon the first occurrence of:</w:t>
      </w:r>
    </w:p>
    <w:p>
      <w:pPr>
        <w:ind w:left="720"/>
      </w:pPr>
      <w:r>
        <w:rPr>
          <w:rFonts w:ascii="Cambria Math" w:hAnsi="Cambria Math"/>
          <w:i/>
          <w:sz w:val="21"/>
        </w:rPr>
        <w:t>Xₜ &lt; L  or  Xₜ &gt; U</w:t>
      </w:r>
    </w:p>
    <w:p>
      <w:r>
        <w:rPr>
          <w:rFonts w:ascii="Calibri" w:hAnsi="Calibri"/>
          <w:b w:val="0"/>
          <w:i w:val="0"/>
          <w:sz w:val="22"/>
        </w:rPr>
        <w:t>where Xₜ denotes the EUR/USD rate, L = 1.05 (lower barrier), and U = 1.25 (upper barrier).</w:t>
      </w:r>
    </w:p>
    <w:p>
      <w:r>
        <w:rPr>
          <w:rFonts w:ascii="Calibri" w:hAnsi="Calibri"/>
          <w:b w:val="0"/>
          <w:i w:val="0"/>
          <w:sz w:val="22"/>
        </w:rPr>
        <w:t>The stopping time is defined as:</w:t>
      </w:r>
    </w:p>
    <w:p>
      <w:pPr>
        <w:ind w:left="720"/>
      </w:pPr>
      <w:r>
        <w:rPr>
          <w:rFonts w:ascii="Cambria Math" w:hAnsi="Cambria Math"/>
          <w:i/>
          <w:sz w:val="21"/>
        </w:rPr>
        <w:t>τₖₒ = inf{t ≥ 0 : Xₜ ∉ (L, U)}</w:t>
      </w:r>
    </w:p>
    <w:p>
      <w:r>
        <w:rPr>
          <w:rFonts w:ascii="Calibri" w:hAnsi="Calibri"/>
          <w:b w:val="0"/>
          <w:i w:val="0"/>
          <w:sz w:val="22"/>
        </w:rPr>
        <w:t>Settlement occurs at τ = min(T, τₖₒ) where T = 2 years.</w:t>
      </w:r>
    </w:p>
    <w:p>
      <w:r>
        <w:br w:type="page"/>
      </w:r>
    </w:p>
    <w:p>
      <w:pPr>
        <w:pStyle w:val="Heading1"/>
      </w:pPr>
      <w:r>
        <w:rPr>
          <w:color w:val="0F4761"/>
        </w:rPr>
        <w:t>2</w:t>
        <w:tab/>
        <w:t>Mathematical Framework</w:t>
      </w:r>
    </w:p>
    <w:p>
      <w:pPr>
        <w:pStyle w:val="Heading2"/>
      </w:pPr>
      <w:r>
        <w:rPr>
          <w:color w:val="0F4761"/>
        </w:rPr>
        <w:t>2.1</w:t>
        <w:tab/>
        <w:t>Stochastic Model</w:t>
      </w:r>
    </w:p>
    <w:p>
      <w:r>
        <w:rPr>
          <w:rFonts w:ascii="Calibri" w:hAnsi="Calibri"/>
          <w:b w:val="0"/>
          <w:i w:val="0"/>
          <w:sz w:val="22"/>
        </w:rPr>
        <w:t>Both underlying assets follow geometric Brownian motion under the risk-neutral measure ℚ.</w:t>
      </w:r>
    </w:p>
    <w:p>
      <w:r>
        <w:rPr>
          <w:rFonts w:ascii="Calibri" w:hAnsi="Calibri"/>
          <w:b/>
          <w:i w:val="0"/>
          <w:sz w:val="22"/>
        </w:rPr>
        <w:t>Gold Price Dynamics (USD):</w:t>
      </w:r>
    </w:p>
    <w:p>
      <w:pPr>
        <w:ind w:left="720"/>
      </w:pPr>
      <w:r>
        <w:rPr>
          <w:rFonts w:ascii="Cambria Math" w:hAnsi="Cambria Math"/>
          <w:i/>
          <w:sz w:val="21"/>
        </w:rPr>
        <w:t>dSₜ/Sₜ = (r_USD − q) dt + σ_S dWₜ⁽¹⁾</w:t>
      </w:r>
    </w:p>
    <w:p>
      <w:r>
        <w:rPr>
          <w:rFonts w:ascii="Calibri" w:hAnsi="Calibri"/>
          <w:b/>
          <w:i w:val="0"/>
          <w:sz w:val="22"/>
        </w:rPr>
        <w:t>EUR/USD Exchange Rate:</w:t>
      </w:r>
    </w:p>
    <w:p>
      <w:pPr>
        <w:ind w:left="720"/>
      </w:pPr>
      <w:r>
        <w:rPr>
          <w:rFonts w:ascii="Cambria Math" w:hAnsi="Cambria Math"/>
          <w:i/>
          <w:sz w:val="21"/>
        </w:rPr>
        <w:t>dXₜ/Xₜ = (r_EUR − r_USD) dt + σ_X dWₜ⁽²⁾</w:t>
      </w:r>
    </w:p>
    <w:p>
      <w:r>
        <w:rPr>
          <w:rFonts w:ascii="Calibri" w:hAnsi="Calibri"/>
          <w:b/>
          <w:i w:val="0"/>
          <w:sz w:val="22"/>
        </w:rPr>
        <w:t>Correlation Structure:</w:t>
      </w:r>
    </w:p>
    <w:p>
      <w:pPr>
        <w:ind w:left="720"/>
      </w:pPr>
      <w:r>
        <w:rPr>
          <w:rFonts w:ascii="Cambria Math" w:hAnsi="Cambria Math"/>
          <w:i/>
          <w:sz w:val="21"/>
        </w:rPr>
        <w:t>ᴼ[dWₜ⁽¹⁾ · dWₜ⁽²⁾] = ρ dt</w:t>
      </w:r>
    </w:p>
    <w:p>
      <w:pPr>
        <w:pStyle w:val="Heading2"/>
      </w:pPr>
      <w:r>
        <w:rPr>
          <w:color w:val="0F4761"/>
        </w:rPr>
        <w:t>2.2</w:t>
        <w:tab/>
        <w:t>Parameter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52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1728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888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Gold spot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S₀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USD 5,203/oz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yfinance live (GC=F, Feb 2026)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EUR/USD spot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X₀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1.181</w:t>
            </w:r>
          </w:p>
        </w:tc>
        <w:tc>
          <w:tcPr>
            <w:tcW w:type="dxa" w:w="388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yfinance live (EURUSD=X, Feb 2026)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USD risk-free rate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r_USD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3.6%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13-week T-bill (^IRX)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risk-free rate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r_EUR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2.0%</w:t>
            </w:r>
          </w:p>
        </w:tc>
        <w:tc>
          <w:tcPr>
            <w:tcW w:type="dxa" w:w="388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ECB deposit rate (configured)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Gold volatility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σ_S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41%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EWMA (λ=0.94, GC=F)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EUR/USD volatility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σ_X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6.2%</w:t>
            </w:r>
          </w:p>
        </w:tc>
        <w:tc>
          <w:tcPr>
            <w:tcW w:type="dxa" w:w="388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EWMA (λ=0.94, EURUSD=X)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Correlation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−0.30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126-day rolling (fallback)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Gold convenience yield</w:t>
            </w:r>
          </w:p>
        </w:tc>
        <w:tc>
          <w:tcPr>
            <w:tcW w:type="dxa" w:w="115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3.6%</w:t>
            </w:r>
          </w:p>
        </w:tc>
        <w:tc>
          <w:tcPr>
            <w:tcW w:type="dxa" w:w="388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Futures term structure (GC=F vs GCJ26.CMX)</w:t>
            </w:r>
          </w:p>
        </w:tc>
      </w:tr>
    </w:tbl>
    <w:p>
      <w:pPr>
        <w:pStyle w:val="Heading2"/>
      </w:pPr>
      <w:r>
        <w:rPr>
          <w:color w:val="0F4761"/>
        </w:rPr>
        <w:t>2.3</w:t>
        <w:tab/>
        <w:t>Risk-Neutral Valuation</w:t>
      </w:r>
    </w:p>
    <w:p>
      <w:r>
        <w:rPr>
          <w:rFonts w:ascii="Calibri" w:hAnsi="Calibri"/>
          <w:b w:val="0"/>
          <w:i w:val="0"/>
          <w:sz w:val="22"/>
        </w:rPr>
        <w:t>The present value under the EUR risk-neutral measure:</w:t>
      </w:r>
    </w:p>
    <w:p>
      <w:pPr>
        <w:ind w:left="720"/>
      </w:pPr>
      <w:r>
        <w:rPr>
          <w:rFonts w:ascii="Cambria Math" w:hAnsi="Cambria Math"/>
          <w:i/>
          <w:sz w:val="21"/>
        </w:rPr>
        <w:t>V₀ = ᴼᵠ[e^(−r_EUR · τ) · Payoffτ]</w:t>
      </w:r>
    </w:p>
    <w:p>
      <w:r>
        <w:rPr>
          <w:rFonts w:ascii="Calibri" w:hAnsi="Calibri"/>
          <w:b w:val="0"/>
          <w:i w:val="0"/>
          <w:sz w:val="22"/>
        </w:rPr>
        <w:t>The path-dependent barrier feature precludes closed-form solutions, necessitating Monte Carlo methods.</w:t>
      </w:r>
    </w:p>
    <w:p>
      <w:r>
        <w:br w:type="page"/>
      </w:r>
    </w:p>
    <w:p>
      <w:pPr>
        <w:pStyle w:val="Heading1"/>
      </w:pPr>
      <w:r>
        <w:rPr>
          <w:color w:val="0F4761"/>
        </w:rPr>
        <w:t>3</w:t>
        <w:tab/>
        <w:t>Numerical Implementation</w:t>
      </w:r>
    </w:p>
    <w:p>
      <w:pPr>
        <w:pStyle w:val="Heading2"/>
      </w:pPr>
      <w:r>
        <w:rPr>
          <w:color w:val="0F4761"/>
        </w:rPr>
        <w:t>3.1</w:t>
        <w:tab/>
        <w:t>Simulation Methodology</w:t>
      </w:r>
    </w:p>
    <w:p>
      <w:r>
        <w:rPr>
          <w:rFonts w:ascii="Calibri" w:hAnsi="Calibri"/>
          <w:b w:val="0"/>
          <w:i w:val="0"/>
          <w:sz w:val="22"/>
        </w:rPr>
        <w:t>We employ Monte Carlo simulation with the following specifications: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608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Simulation paths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100,000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Adequate precision for indicative pricing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Time steps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504</w:t>
            </w:r>
          </w:p>
        </w:tc>
        <w:tc>
          <w:tcPr>
            <w:tcW w:type="dxa" w:w="460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Daily monitoring over 2 years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Random seed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Fixed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Reproducibility</w:t>
            </w:r>
          </w:p>
        </w:tc>
      </w:tr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Variance reduction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Antithetic + Control</w:t>
            </w:r>
          </w:p>
        </w:tc>
        <w:tc>
          <w:tcPr>
            <w:tcW w:type="dxa" w:w="460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~60% error reduction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Discretization Scheme</w:t>
      </w:r>
    </w:p>
    <w:p>
      <w:r>
        <w:rPr>
          <w:rFonts w:ascii="Calibri" w:hAnsi="Calibri"/>
          <w:b w:val="0"/>
          <w:i w:val="0"/>
          <w:sz w:val="22"/>
        </w:rPr>
        <w:t>Asset prices are simulated using the exact log-normal solution:</w:t>
      </w:r>
    </w:p>
    <w:p>
      <w:pPr>
        <w:ind w:left="720"/>
      </w:pPr>
      <w:r>
        <w:rPr>
          <w:rFonts w:ascii="Cambria Math" w:hAnsi="Cambria Math"/>
          <w:i/>
          <w:sz w:val="21"/>
        </w:rPr>
        <w:t>Sₜ₊Δₜ = Sₜ · exp[(μ_S − σ_S²/2)Δt + σ_S√Δt · Z₁]</w:t>
      </w:r>
    </w:p>
    <w:p>
      <w:pPr>
        <w:ind w:left="720"/>
      </w:pPr>
      <w:r>
        <w:rPr>
          <w:rFonts w:ascii="Cambria Math" w:hAnsi="Cambria Math"/>
          <w:i/>
          <w:sz w:val="21"/>
        </w:rPr>
        <w:t>Xₜ₊Δₜ = Xₜ · exp[(μ_X − σ_X²/2)Δt + σ_X√Δt · Z₂]</w:t>
      </w:r>
    </w:p>
    <w:p>
      <w:r>
        <w:rPr>
          <w:rFonts w:ascii="Calibri" w:hAnsi="Calibri"/>
          <w:b w:val="0"/>
          <w:i w:val="0"/>
          <w:sz w:val="22"/>
        </w:rPr>
        <w:t>where Z₁, Z₂ are correlated standard normals generated via Cholesky decomposition:</w:t>
      </w:r>
    </w:p>
    <w:p>
      <w:pPr>
        <w:ind w:left="720"/>
      </w:pPr>
      <w:r>
        <w:rPr>
          <w:rFonts w:ascii="Cambria Math" w:hAnsi="Cambria Math"/>
          <w:i/>
          <w:sz w:val="21"/>
        </w:rPr>
        <w:t>Z₂ = ρ Z₁ + √(1−ρ²) Z⊥</w:t>
      </w:r>
    </w:p>
    <w:p>
      <w:pPr>
        <w:pStyle w:val="Heading2"/>
      </w:pPr>
      <w:r>
        <w:rPr>
          <w:color w:val="0F4761"/>
        </w:rPr>
        <w:t>3.2</w:t>
        <w:tab/>
        <w:t>Variance Reduction</w:t>
      </w:r>
    </w:p>
    <w:p>
      <w:r>
        <w:rPr>
          <w:rFonts w:ascii="Calibri" w:hAnsi="Calibri"/>
          <w:b w:val="0"/>
          <w:i w:val="0"/>
          <w:sz w:val="22"/>
        </w:rPr>
        <w:t>Two techniques are implemented to improve computational efficiency:</w:t>
      </w:r>
    </w:p>
    <w:p>
      <w:r>
        <w:rPr>
          <w:rFonts w:ascii="Calibri" w:hAnsi="Calibri"/>
          <w:b w:val="0"/>
          <w:i w:val="0"/>
          <w:sz w:val="22"/>
        </w:rPr>
        <w:t>Antithetic Variates: For each path with innovations {Zₜ}, we also simulate the reflected path {−Zₜ}. The negative correlation between paired paths reduces variance.</w:t>
      </w:r>
    </w:p>
    <w:p>
      <w:r>
        <w:rPr>
          <w:rFonts w:ascii="Calibri" w:hAnsi="Calibri"/>
          <w:b w:val="0"/>
          <w:i w:val="0"/>
          <w:sz w:val="22"/>
        </w:rPr>
        <w:t>Control Variate: The vanilla gold forward (without barriers) serves as a control:</w:t>
      </w:r>
    </w:p>
    <w:p>
      <w:pPr>
        <w:ind w:left="720"/>
      </w:pPr>
      <w:r>
        <w:rPr>
          <w:rFonts w:ascii="Cambria Math" w:hAnsi="Cambria Math"/>
          <w:i/>
          <w:sz w:val="21"/>
        </w:rPr>
        <w:t>V̂_adj = V̂_exotic + β(V_vanilla^analytical − V̂_vanilla)</w:t>
      </w:r>
    </w:p>
    <w:p>
      <w:r>
        <w:rPr>
          <w:rFonts w:ascii="Calibri" w:hAnsi="Calibri"/>
          <w:b w:val="0"/>
          <w:i w:val="0"/>
          <w:sz w:val="22"/>
        </w:rPr>
        <w:t>where β is the optimal control coefficient estimated from sample covariance.</w:t>
      </w:r>
    </w:p>
    <w:p>
      <w:r>
        <w:rPr>
          <w:rFonts w:ascii="Calibri" w:hAnsi="Calibri"/>
          <w:b w:val="0"/>
          <w:i w:val="0"/>
          <w:sz w:val="22"/>
        </w:rPr>
        <w:t>Combined, these techniques reduce standard errors by approximately 60%.</w:t>
      </w:r>
    </w:p>
    <w:p>
      <w:r>
        <w:br w:type="page"/>
      </w:r>
    </w:p>
    <w:p>
      <w:pPr>
        <w:pStyle w:val="Heading1"/>
      </w:pPr>
      <w:r>
        <w:rPr>
          <w:color w:val="0F4761"/>
        </w:rPr>
        <w:t>4</w:t>
        <w:tab/>
        <w:t>Pricing Results</w:t>
      </w:r>
    </w:p>
    <w:p>
      <w:pPr>
        <w:pStyle w:val="Heading2"/>
      </w:pPr>
      <w:r>
        <w:rPr>
          <w:color w:val="0F4761"/>
        </w:rPr>
        <w:t>4.1</w:t>
        <w:tab/>
        <w:t>Base Case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 Group Present Value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+63,968,230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Alphabank Present Value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−63,968,230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Standard Error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896,173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95% Confidence Interval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[+62.2M, +65.7M]</w:t>
            </w:r>
          </w:p>
        </w:tc>
      </w:tr>
    </w:tbl>
    <w:p/>
    <w:p>
      <w:pPr>
        <w:pStyle w:val="Heading2"/>
      </w:pPr>
      <w:r>
        <w:rPr>
          <w:color w:val="0F4761"/>
        </w:rPr>
        <w:t>4.2</w:t>
        <w:tab/>
        <w:t>Barrier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Overall Knock-Out Rate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64.2%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Lower Barrier Breaches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27.3%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Upper Barrier Breaches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36.9%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Average Time to Knock-Out</w:t>
            </w:r>
          </w:p>
        </w:tc>
        <w:tc>
          <w:tcPr>
            <w:tcW w:type="dxa" w:w="504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0.98 years (11.8 months)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The barrier breach profile has shifted dramatically compared to earlier market conditions. The upper barrier now accounts for the majority of knock-outs (37% vs 27% lower), reflecting the EUR/USD spot at 1.181—only 5.8% from the upper barrier versus 11.1% from the lower. The interest rate differential (r_EUR − r_USD = −1.6%) still implies euro depreciation drift, but the proximity asymmetry dominates.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7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7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rusd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4761"/>
        </w:rPr>
        <w:t>4.3</w:t>
        <w:tab/>
        <w:t>Convergence Verification</w:t>
      </w:r>
    </w:p>
    <w:p>
      <w:r>
        <w:rPr>
          <w:rFonts w:ascii="Calibri" w:hAnsi="Calibri"/>
          <w:b w:val="0"/>
          <w:i w:val="0"/>
          <w:sz w:val="22"/>
        </w:rPr>
        <w:t>Monte Carlo estimates stabilize as path counts increase: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Paths</w:t>
            </w:r>
          </w:p>
        </w:tc>
        <w:tc>
          <w:tcPr>
            <w:tcW w:type="dxa" w:w="360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Price Estimate</w:t>
            </w:r>
          </w:p>
        </w:tc>
        <w:tc>
          <w:tcPr>
            <w:tcW w:type="dxa" w:w="360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Standard Error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5,000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+61.5M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3,844K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+61.6M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2,698K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25,000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+62.7M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1,768K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50,000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+63.1M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1,241K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100,000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+64.0M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896K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Standard errors decay proportionally to 1/√n, confirming proper convergence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6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F4761"/>
        </w:rPr>
        <w:t>5</w:t>
        <w:tab/>
        <w:t>Critical Assessment</w:t>
      </w:r>
    </w:p>
    <w:p>
      <w:pPr>
        <w:pStyle w:val="Heading2"/>
      </w:pPr>
      <w:r>
        <w:rPr>
          <w:color w:val="0F4761"/>
        </w:rPr>
        <w:t>5.1</w:t>
        <w:tab/>
        <w:t>Strike Price Analysis</w:t>
      </w:r>
    </w:p>
    <w:p>
      <w:r>
        <w:rPr>
          <w:rFonts w:ascii="Calibri" w:hAnsi="Calibri"/>
          <w:b w:val="0"/>
          <w:i w:val="0"/>
          <w:sz w:val="22"/>
        </w:rPr>
        <w:t>The specified strike of USD 4,600/oz warrants careful examination.</w:t>
      </w:r>
    </w:p>
    <w:p>
      <w:r>
        <w:rPr>
          <w:rFonts w:ascii="Calibri" w:hAnsi="Calibri"/>
          <w:b/>
          <w:i w:val="0"/>
          <w:sz w:val="22"/>
        </w:rPr>
        <w:t>Forward Price Calculation:</w:t>
      </w:r>
    </w:p>
    <w:p>
      <w:pPr>
        <w:ind w:left="720"/>
      </w:pPr>
      <w:r>
        <w:rPr>
          <w:rFonts w:ascii="Cambria Math" w:hAnsi="Cambria Math"/>
          <w:i/>
          <w:sz w:val="21"/>
        </w:rPr>
        <w:t>F₀,T = S₀ · e^((r_USD − q) · T) = 5,203 · e^((0.036−0.036)·2) ≈ USD 5,203/oz</w:t>
      </w:r>
    </w:p>
    <w:p>
      <w:r>
        <w:rPr>
          <w:rFonts w:ascii="Calibri" w:hAnsi="Calibri"/>
          <w:b w:val="0"/>
          <w:i w:val="0"/>
          <w:sz w:val="22"/>
        </w:rPr>
        <w:t>With convenience yield approximately equal to the USD risk-free rate, the forward is near spot. The strike sits 12% below the forward, placing Z Group in the money:</w:t>
      </w:r>
    </w:p>
    <w:p>
      <w:pPr>
        <w:ind w:left="720"/>
      </w:pPr>
      <w:r>
        <w:rPr>
          <w:rFonts w:ascii="Cambria Math" w:hAnsi="Cambria Math"/>
          <w:i/>
          <w:sz w:val="21"/>
        </w:rPr>
        <w:t>Moneyness = F₀,T / K = 5,203 / 4,600 = 113.1%</w:t>
      </w:r>
    </w:p>
    <w:p>
      <w:r>
        <w:rPr>
          <w:rFonts w:ascii="Calibri" w:hAnsi="Calibri"/>
          <w:b/>
          <w:i w:val="0"/>
          <w:sz w:val="22"/>
        </w:rPr>
        <w:t>Alternative Strike Analysis: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Strike</w:t>
            </w:r>
          </w:p>
        </w:tc>
        <w:tc>
          <w:tcPr>
            <w:tcW w:type="dxa" w:w="360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Forward Relationship</w:t>
            </w:r>
          </w:p>
        </w:tc>
        <w:tc>
          <w:tcPr>
            <w:tcW w:type="dxa" w:w="360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Z Group PV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USD 4,000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23% below forward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+146M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USD 4,300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17% below forward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+101M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USD 4,600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12% below forward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+63M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USD 4,900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6% below forward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+29M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USD 5,200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At-the-money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~0M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USD 5,500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6% above forward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−27M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43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4761"/>
        </w:rPr>
        <w:t>5.2</w:t>
        <w:tab/>
        <w:t>Barrier Configuration</w:t>
      </w:r>
    </w:p>
    <w:p>
      <w:r>
        <w:rPr>
          <w:rFonts w:ascii="Calibri" w:hAnsi="Calibri"/>
          <w:b w:val="0"/>
          <w:i w:val="0"/>
          <w:sz w:val="22"/>
        </w:rPr>
        <w:t>With EUR/USD at 1.181, the upper barrier at 1.25 is now the proximate risk:</w:t>
      </w:r>
    </w:p>
    <w:p>
      <w:pPr>
        <w:ind w:left="720"/>
      </w:pPr>
      <w:r>
        <w:rPr>
          <w:rFonts w:ascii="Cambria Math" w:hAnsi="Cambria Math"/>
          <w:i/>
          <w:sz w:val="21"/>
        </w:rPr>
        <w:t>Distance to Upper Barrier = (U − X₀) / X₀ = (1.25 − 1.181) / 1.181 = 5.8%</w:t>
      </w:r>
    </w:p>
    <w:p>
      <w:pPr>
        <w:ind w:left="720"/>
      </w:pPr>
      <w:r>
        <w:rPr>
          <w:rFonts w:ascii="Cambria Math" w:hAnsi="Cambria Math"/>
          <w:i/>
          <w:sz w:val="21"/>
        </w:rPr>
        <w:t>Distance to Lower Barrier = (X₀ − L) / X₀ = (1.181 − 1.05) / 1.181 = 11.1%</w:t>
      </w:r>
    </w:p>
    <w:p>
      <w:r>
        <w:rPr>
          <w:rFonts w:ascii="Calibri" w:hAnsi="Calibri"/>
          <w:b w:val="0"/>
          <w:i w:val="0"/>
          <w:sz w:val="22"/>
        </w:rPr>
        <w:t>With 6.2% annual EUR/USD volatility, the asymmetric positioning creates an upper-barrier-dominated knock-out profile.</w:t>
      </w:r>
    </w:p>
    <w:p>
      <w:r>
        <w:rPr>
          <w:rFonts w:ascii="Calibri" w:hAnsi="Calibri"/>
          <w:b/>
          <w:i w:val="0"/>
          <w:sz w:val="22"/>
        </w:rPr>
        <w:t>Alternative Configurations: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Corridor</w:t>
            </w:r>
          </w:p>
        </w:tc>
        <w:tc>
          <w:tcPr>
            <w:tcW w:type="dxa" w:w="288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Knock-Out Rate</w:t>
            </w:r>
          </w:p>
        </w:tc>
        <w:tc>
          <w:tcPr>
            <w:tcW w:type="dxa" w:w="360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Duration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[1.05, 1.25]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64%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12 months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[1.00, 1.30]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27%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15 months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[0.95, 1.35]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17 months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4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9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9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F4761"/>
        </w:rPr>
        <w:t>6</w:t>
        <w:tab/>
        <w:t>Risk Sensitivities</w:t>
      </w:r>
    </w:p>
    <w:p>
      <w:pPr>
        <w:pStyle w:val="Heading2"/>
      </w:pPr>
      <w:r>
        <w:rPr>
          <w:color w:val="0F4761"/>
        </w:rPr>
        <w:t>6.1</w:t>
        <w:tab/>
        <w:t>Greeks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Greek</w:t>
            </w:r>
          </w:p>
        </w:tc>
        <w:tc>
          <w:tcPr>
            <w:tcW w:type="dxa" w:w="360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032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Delta_gold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105,677 per USD 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First-order gold sensitivity</w:t>
            </w:r>
          </w:p>
        </w:tc>
      </w:tr>
      <w:tr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Gamma_gold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−669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Gold convexity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Delta_FX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−8.18M per 0.01 FX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EUR/USD sensitivity (negative: upper barrier risk)</w:t>
            </w:r>
          </w:p>
        </w:tc>
      </w:tr>
      <w:tr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Vega_gold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−2.88M per 1% vol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Gold vega (higher vol increases KO probability)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Rho_EUR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−1,031M per 1bp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rate sensitivity</w:t>
            </w:r>
          </w:p>
        </w:tc>
      </w:tr>
      <w:tr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Rho_corr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−973K per 0.05 corr</w:t>
            </w:r>
          </w:p>
        </w:tc>
        <w:tc>
          <w:tcPr>
            <w:tcW w:type="dxa" w:w="4032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Correlation sensitivity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51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ks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F4761"/>
        </w:rPr>
        <w:t>6.2</w:t>
        <w:tab/>
        <w:t>Hedging Implications</w:t>
      </w:r>
    </w:p>
    <w:p>
      <w:r>
        <w:rPr>
          <w:rFonts w:ascii="Calibri" w:hAnsi="Calibri"/>
          <w:b w:val="0"/>
          <w:i w:val="0"/>
          <w:sz w:val="22"/>
        </w:rPr>
        <w:t>Delta Hedging: The gold delta of EUR 106K per dollar implies a hedge ratio of approximately:</w:t>
      </w:r>
    </w:p>
    <w:p>
      <w:pPr>
        <w:ind w:left="720"/>
      </w:pPr>
      <w:r>
        <w:rPr>
          <w:rFonts w:ascii="Cambria Math" w:hAnsi="Cambria Math"/>
          <w:i/>
          <w:sz w:val="21"/>
        </w:rPr>
        <w:t>Gold Hedge = (Δ_gold / S₀) × K = (105,677 / 5,203) × 4,600 ≈ 93,400 oz</w:t>
      </w:r>
    </w:p>
    <w:p>
      <w:r>
        <w:rPr>
          <w:rFonts w:ascii="Calibri" w:hAnsi="Calibri"/>
          <w:b w:val="0"/>
          <w:i w:val="0"/>
          <w:sz w:val="22"/>
        </w:rPr>
        <w:t>Barrier Risk: With EUR/USD at 1.181, the upper barrier at 1.25 is only 5.8% away. As EUR/USD approaches either barrier, gamma and delta become increasingly unstable—the characteristic “pin risk” of barrier options. The negative FX delta (EUR −8.2M per 0.01) reflects that EUR appreciation toward 1.25 destroys contract value through knock-out.</w:t>
      </w:r>
    </w:p>
    <w:p>
      <w:r>
        <w:br w:type="page"/>
      </w:r>
    </w:p>
    <w:p>
      <w:pPr>
        <w:pStyle w:val="Heading1"/>
      </w:pPr>
      <w:r>
        <w:rPr>
          <w:color w:val="0F4761"/>
        </w:rPr>
        <w:t>7</w:t>
        <w:tab/>
        <w:t>Model Validation</w:t>
      </w:r>
    </w:p>
    <w:p>
      <w:pPr>
        <w:pStyle w:val="Heading2"/>
      </w:pPr>
      <w:r>
        <w:rPr>
          <w:color w:val="0F4761"/>
        </w:rPr>
        <w:t>7.1</w:t>
        <w:tab/>
        <w:t>Alternative Specifications</w:t>
      </w:r>
    </w:p>
    <w:p>
      <w:r>
        <w:rPr>
          <w:rFonts w:ascii="Calibri" w:hAnsi="Calibri"/>
          <w:b w:val="0"/>
          <w:i w:val="0"/>
          <w:sz w:val="22"/>
        </w:rPr>
        <w:t>To ensure robustness, we compared valuations across three model specifications: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Z Group PV</w:t>
            </w:r>
          </w:p>
        </w:tc>
        <w:tc>
          <w:tcPr>
            <w:tcW w:type="dxa" w:w="288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Knock-Out Rate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Base GBM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+63.1M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64.5%</w:t>
            </w:r>
          </w:p>
        </w:tc>
      </w:tr>
      <w:tr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Heston Stochastic Vol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+64.1M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64.1%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Merton Jump-Diffusion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 +65.7M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64.1%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All models converge within 4%, with Heston and Merton producing slightly higher valuations due to stochastic volatility and jump dynamics amplifying the in-the-money payoff. Model specification risk remains secondary to market parameter uncertainty.</w:t>
      </w:r>
    </w:p>
    <w:p>
      <w:pPr>
        <w:pStyle w:val="Heading2"/>
      </w:pPr>
      <w:r>
        <w:rPr>
          <w:color w:val="0F4761"/>
        </w:rPr>
        <w:t>7.2</w:t>
        <w:tab/>
        <w:t>Analytical Benchmark</w:t>
      </w:r>
    </w:p>
    <w:p>
      <w:r>
        <w:rPr>
          <w:rFonts w:ascii="Calibri" w:hAnsi="Calibri"/>
          <w:b w:val="0"/>
          <w:i w:val="0"/>
          <w:sz w:val="22"/>
        </w:rPr>
        <w:t>The vanilla gold forward (without barriers) provides a sanity check:</w:t>
      </w:r>
    </w:p>
    <w:p>
      <w:pPr>
        <w:ind w:left="720"/>
      </w:pPr>
      <w:r>
        <w:rPr>
          <w:rFonts w:ascii="Cambria Math" w:hAnsi="Cambria Math"/>
          <w:i/>
          <w:sz w:val="21"/>
        </w:rPr>
        <w:t>V_vanilla = e^(−r_EUR · T) · N · (F₀,T − K) / K = e^(−0.020 × 2) · 500M × (5,203 − 4,600) / 4,600</w:t>
      </w:r>
    </w:p>
    <w:p>
      <w:pPr>
        <w:ind w:left="720"/>
      </w:pPr>
      <w:r>
        <w:rPr>
          <w:rFonts w:ascii="Cambria Math" w:hAnsi="Cambria Math"/>
          <w:i/>
          <w:sz w:val="21"/>
        </w:rPr>
        <w:t>V_vanilla = EUR +63,004,791</w:t>
      </w:r>
    </w:p>
    <w:p>
      <w:r>
        <w:rPr>
          <w:rFonts w:ascii="Calibri" w:hAnsi="Calibri"/>
          <w:b w:val="0"/>
          <w:i w:val="0"/>
          <w:sz w:val="22"/>
        </w:rPr>
        <w:t>The knock-out version (EUR +64.0M) is EUR 1.0M higher than the vanilla, reflecting that early termination locks in profits when gold is above strike—a reversal from the prior regime where knock-outs destroyed value.</w:t>
      </w:r>
    </w:p>
    <w:p>
      <w:r>
        <w:br w:type="page"/>
      </w:r>
    </w:p>
    <w:p>
      <w:pPr>
        <w:pStyle w:val="Heading1"/>
      </w:pPr>
      <w:r>
        <w:rPr>
          <w:color w:val="0F4761"/>
        </w:rPr>
        <w:t>8</w:t>
        <w:tab/>
        <w:t>Conclusions and Recommendations</w:t>
      </w:r>
    </w:p>
    <w:p>
      <w:pPr>
        <w:pStyle w:val="Heading2"/>
      </w:pPr>
      <w:r>
        <w:rPr>
          <w:color w:val="0F4761"/>
        </w:rPr>
        <w:t>8.1</w:t>
        <w:tab/>
        <w:t>Summary of Findings</w:t>
      </w:r>
    </w:p>
    <w:p>
      <w:r>
        <w:rPr>
          <w:rFonts w:ascii="Calibri" w:hAnsi="Calibri"/>
          <w:b w:val="0"/>
          <w:i w:val="0"/>
          <w:sz w:val="22"/>
        </w:rPr>
        <w:t>The proposed structure is technically sound and priceable using standard Monte Carlo techniques. The February 2026 market environment has fundamentally altered the risk profile:</w:t>
      </w:r>
    </w:p>
    <w:p>
      <w:r>
        <w:rPr>
          <w:rFonts w:ascii="Calibri" w:hAnsi="Calibri"/>
          <w:b w:val="0"/>
          <w:i w:val="0"/>
          <w:sz w:val="22"/>
        </w:rPr>
        <w:t>1.  Position reversal: Gold’s surge to $5,203/oz places Z Group firmly in the money (113% moneyness), with a positive PV of EUR +64M. This contrasts sharply with earlier market conditions where the position was deeply out-of-the-money.</w:t>
      </w:r>
    </w:p>
    <w:p>
      <w:r>
        <w:rPr>
          <w:rFonts w:ascii="Calibri" w:hAnsi="Calibri"/>
          <w:b w:val="0"/>
          <w:i w:val="0"/>
          <w:sz w:val="22"/>
        </w:rPr>
        <w:t>2.  Barrier risk shift: The upper EUR/USD barrier at 1.25 is now only 5.8% from spot, making it the primary knock-out driver (37% of paths). The 64% total knock-out rate and 12-month expected duration represent a more balanced risk profile than the prior 93%/5-month scenario.</w:t>
      </w:r>
    </w:p>
    <w:p>
      <w:r>
        <w:rPr>
          <w:rFonts w:ascii="Calibri" w:hAnsi="Calibri"/>
          <w:b w:val="0"/>
          <w:i w:val="0"/>
          <w:sz w:val="22"/>
        </w:rPr>
        <w:t>3.  Elevated volatility: Gold volatility at 41% (EWMA) is more than double historical norms, increasing both the potential upside for Z Group and the mark-to-market volatility for Alphabank’s hedging book.</w:t>
      </w:r>
    </w:p>
    <w:p>
      <w:pPr>
        <w:pStyle w:val="Heading2"/>
      </w:pPr>
      <w:r>
        <w:rPr>
          <w:color w:val="0F4761"/>
        </w:rPr>
        <w:t>8.2</w:t>
        <w:tab/>
        <w:t>Recommendations</w:t>
      </w:r>
    </w:p>
    <w:p>
      <w:r>
        <w:rPr>
          <w:rFonts w:ascii="Calibri" w:hAnsi="Calibri"/>
          <w:b w:val="0"/>
          <w:i w:val="0"/>
          <w:sz w:val="22"/>
        </w:rPr>
        <w:t>We recommend proceeding to term sheet stage with the following considerations:</w:t>
      </w:r>
    </w:p>
    <w:p>
      <w:r>
        <w:rPr>
          <w:rFonts w:ascii="Calibri" w:hAnsi="Calibri"/>
          <w:b w:val="0"/>
          <w:i w:val="0"/>
          <w:sz w:val="22"/>
        </w:rPr>
        <w:t>1.  Alphabank should carefully assess credit exposure given the positive Z Group PV, ensuring adequate collateral arrangements</w:t>
      </w:r>
    </w:p>
    <w:p>
      <w:r>
        <w:rPr>
          <w:rFonts w:ascii="Calibri" w:hAnsi="Calibri"/>
          <w:b w:val="0"/>
          <w:i w:val="0"/>
          <w:sz w:val="22"/>
        </w:rPr>
        <w:t>2.  The upper barrier proximity (5.8%) warrants active monitoring—EUR appreciation events could trigger knock-out and crystallize Z Group’s gain</w:t>
      </w:r>
    </w:p>
    <w:p>
      <w:r>
        <w:rPr>
          <w:rFonts w:ascii="Calibri" w:hAnsi="Calibri"/>
          <w:b w:val="0"/>
          <w:i w:val="0"/>
          <w:sz w:val="22"/>
        </w:rPr>
        <w:t>3.  Consider whether alternative barrier configurations (e.g., [1.00, 1.30] with 27% KO rate) would provide Z Group with more durable hedging protection</w:t>
      </w:r>
    </w:p>
    <w:p>
      <w:pPr>
        <w:pStyle w:val="Heading2"/>
      </w:pPr>
      <w:r>
        <w:rPr>
          <w:color w:val="0F4761"/>
        </w:rPr>
        <w:t>8.3</w:t>
        <w:tab/>
        <w:t>Next Steps</w:t>
      </w:r>
    </w:p>
    <w:p>
      <w:r>
        <w:rPr>
          <w:rFonts w:ascii="Calibri" w:hAnsi="Calibri"/>
          <w:b w:val="0"/>
          <w:i w:val="0"/>
          <w:sz w:val="22"/>
        </w:rPr>
        <w:t>Upon Committee approval, we will:</w:t>
      </w:r>
    </w:p>
    <w:p>
      <w:r>
        <w:rPr>
          <w:rFonts w:ascii="Calibri" w:hAnsi="Calibri"/>
          <w:b w:val="0"/>
          <w:i w:val="0"/>
          <w:sz w:val="22"/>
        </w:rPr>
        <w:t>•  Finalize term sheet documentation</w:t>
      </w:r>
    </w:p>
    <w:p>
      <w:r>
        <w:rPr>
          <w:rFonts w:ascii="Calibri" w:hAnsi="Calibri"/>
          <w:b w:val="0"/>
          <w:i w:val="0"/>
          <w:sz w:val="22"/>
        </w:rPr>
        <w:t>•  Establish hedging framework with Trading Desk</w:t>
      </w:r>
    </w:p>
    <w:p>
      <w:r>
        <w:rPr>
          <w:rFonts w:ascii="Calibri" w:hAnsi="Calibri"/>
          <w:b w:val="0"/>
          <w:i w:val="0"/>
          <w:sz w:val="22"/>
        </w:rPr>
        <w:t>•  Coordinate credit approval with Risk Management</w:t>
      </w:r>
    </w:p>
    <w:p>
      <w:r>
        <w:rPr>
          <w:rFonts w:ascii="Calibri" w:hAnsi="Calibri"/>
          <w:b w:val="0"/>
          <w:i w:val="0"/>
          <w:sz w:val="22"/>
        </w:rPr>
        <w:t>•  Schedule client presentation</w:t>
      </w:r>
    </w:p>
    <w:p/>
    <w:p>
      <w:pPr>
        <w:jc w:val="center"/>
      </w:pPr>
      <w:r>
        <w:rPr>
          <w:b/>
          <w:sz w:val="22"/>
        </w:rPr>
        <w:t>[END OF MEMORANDUM]</w:t>
      </w:r>
    </w:p>
    <w:p>
      <w:r>
        <w:br w:type="page"/>
      </w:r>
    </w:p>
    <w:p>
      <w:pPr>
        <w:pStyle w:val="Heading1"/>
      </w:pPr>
      <w:r>
        <w:t>Appendix A: Nomenclature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7200"/>
            <w:shd w:fill="1A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Sₜ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Gold spot price (USD/oz) at time t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Xₜ</w:t>
            </w:r>
          </w:p>
        </w:tc>
        <w:tc>
          <w:tcPr>
            <w:tcW w:type="dxa" w:w="72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EUR/USD exchange rate at time 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Strike price (USD 4,600/oz)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</w:t>
            </w:r>
          </w:p>
        </w:tc>
        <w:tc>
          <w:tcPr>
            <w:tcW w:type="dxa" w:w="72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Notional principal (EUR 500M)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Maturity (2 years)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L, U</w:t>
            </w:r>
          </w:p>
        </w:tc>
        <w:tc>
          <w:tcPr>
            <w:tcW w:type="dxa" w:w="72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Lower (1.05) and upper (1.25) barriers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r_EUR, r_USD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Risk-free rates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σ_S, σ_X</w:t>
            </w:r>
          </w:p>
        </w:tc>
        <w:tc>
          <w:tcPr>
            <w:tcW w:type="dxa" w:w="72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Volatilities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ρ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Correlation coefficient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</w:t>
            </w:r>
          </w:p>
        </w:tc>
        <w:tc>
          <w:tcPr>
            <w:tcW w:type="dxa" w:w="72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Gold convenience yield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τ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Settlement time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τ_KO</w:t>
            </w:r>
          </w:p>
        </w:tc>
        <w:tc>
          <w:tcPr>
            <w:tcW w:type="dxa" w:w="7200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Knock-out time</w:t>
            </w:r>
          </w:p>
        </w:tc>
      </w:tr>
    </w:tbl>
    <w:p>
      <w:r>
        <w:br w:type="page"/>
      </w:r>
    </w:p>
    <w:p>
      <w:pPr>
        <w:pStyle w:val="Heading1"/>
      </w:pPr>
      <w:r>
        <w:t>Appendix B: Figure Index</w:t>
      </w:r>
    </w:p>
    <w:p>
      <w:r>
        <w:rPr>
          <w:rFonts w:ascii="Calibri" w:hAnsi="Calibri"/>
          <w:b w:val="0"/>
          <w:i w:val="0"/>
          <w:sz w:val="22"/>
        </w:rPr>
        <w:t>1.  Monte Carlo Simulation: Gold Price Paths — gold_paths.png</w:t>
      </w:r>
    </w:p>
    <w:p>
      <w:r>
        <w:rPr>
          <w:rFonts w:ascii="Calibri" w:hAnsi="Calibri"/>
          <w:b w:val="0"/>
          <w:i w:val="0"/>
          <w:sz w:val="22"/>
        </w:rPr>
        <w:t>2.  Monte Carlo Simulation: EUR/USD Paths with Barriers — eurusd_paths.png</w:t>
      </w:r>
    </w:p>
    <w:p>
      <w:r>
        <w:rPr>
          <w:rFonts w:ascii="Calibri" w:hAnsi="Calibri"/>
          <w:b w:val="0"/>
          <w:i w:val="0"/>
          <w:sz w:val="22"/>
        </w:rPr>
        <w:t>3.  Monte Carlo Convergence Analysis — convergence.png</w:t>
      </w:r>
    </w:p>
    <w:p>
      <w:r>
        <w:rPr>
          <w:rFonts w:ascii="Calibri" w:hAnsi="Calibri"/>
          <w:b w:val="0"/>
          <w:i w:val="0"/>
          <w:sz w:val="22"/>
        </w:rPr>
        <w:t>4.  Gold Price Sensitivity Analysis — gold_sensitivity.png</w:t>
      </w:r>
    </w:p>
    <w:p>
      <w:r>
        <w:rPr>
          <w:rFonts w:ascii="Calibri" w:hAnsi="Calibri"/>
          <w:b w:val="0"/>
          <w:i w:val="0"/>
          <w:sz w:val="22"/>
        </w:rPr>
        <w:t>5.  EUR/USD Sensitivity Analysis — fx_sensitivity.png</w:t>
      </w:r>
    </w:p>
    <w:p>
      <w:r>
        <w:rPr>
          <w:rFonts w:ascii="Calibri" w:hAnsi="Calibri"/>
          <w:b w:val="0"/>
          <w:i w:val="0"/>
          <w:sz w:val="22"/>
        </w:rPr>
        <w:t>6.  Scenario Analysis — Z Group PV Impact — scenario_analysis.png</w:t>
      </w:r>
    </w:p>
    <w:p>
      <w:r>
        <w:rPr>
          <w:rFonts w:ascii="Calibri" w:hAnsi="Calibri"/>
          <w:b w:val="0"/>
          <w:i w:val="0"/>
          <w:sz w:val="22"/>
        </w:rPr>
        <w:t>7.  Risk Sensitivities (Greeks) — greeks_chart.png</w:t>
      </w:r>
    </w:p>
    <w:p>
      <w:r>
        <w:rPr>
          <w:rFonts w:ascii="Calibri" w:hAnsi="Calibri"/>
          <w:b w:val="0"/>
          <w:i w:val="0"/>
          <w:sz w:val="22"/>
        </w:rPr>
        <w:t>8.  Volatility Surface (2D Grid) — volatility_surface.png</w:t>
      </w:r>
    </w:p>
    <w:p>
      <w:r>
        <w:rPr>
          <w:rFonts w:ascii="Calibri" w:hAnsi="Calibri"/>
          <w:b w:val="0"/>
          <w:i w:val="0"/>
          <w:sz w:val="22"/>
        </w:rPr>
        <w:t>9.  Correlation Sensitivity Analysis — correlation_sensitivity.png</w:t>
      </w:r>
    </w:p>
    <w:p>
      <w:r>
        <w:rPr>
          <w:rFonts w:ascii="Calibri" w:hAnsi="Calibri"/>
          <w:b w:val="0"/>
          <w:i w:val="0"/>
          <w:sz w:val="22"/>
        </w:rPr>
        <w:t>10.  Payoff Distribution — payoff_distribution.png</w:t>
      </w:r>
    </w:p>
    <w:p>
      <w:r>
        <w:rPr>
          <w:rFonts w:ascii="Calibri" w:hAnsi="Calibri"/>
          <w:b w:val="0"/>
          <w:i w:val="0"/>
          <w:sz w:val="22"/>
        </w:rPr>
        <w:t>11.  Knockout Time Distribution and Barrier Breach Analysis — knockout_analysis.png</w:t>
      </w:r>
    </w:p>
    <w:p>
      <w:r>
        <w:rPr>
          <w:rFonts w:ascii="Calibri" w:hAnsi="Calibri"/>
          <w:b w:val="0"/>
          <w:i w:val="0"/>
          <w:sz w:val="22"/>
        </w:rPr>
        <w:t>12.  Market Conditions Change (Jan → Feb 2026) — valuation_comparison.png</w:t>
      </w:r>
    </w:p>
    <w:p>
      <w:r>
        <w:rPr>
          <w:rFonts w:ascii="Calibri" w:hAnsi="Calibri"/>
          <w:b w:val="0"/>
          <w:i w:val="0"/>
          <w:sz w:val="22"/>
        </w:rPr>
        <w:t>13.  Gold Price Evolution — gold_history.png</w:t>
      </w:r>
    </w:p>
    <w:p>
      <w:r>
        <w:br w:type="page"/>
      </w:r>
    </w:p>
    <w:p>
      <w:pPr>
        <w:pStyle w:val="Heading1"/>
      </w:pPr>
      <w:r>
        <w:t>Appendix C: Additional Charts</w:t>
      </w:r>
    </w:p>
    <w:p>
      <w:r>
        <w:rPr>
          <w:rFonts w:ascii="Calibri" w:hAnsi="Calibri"/>
          <w:b w:val="0"/>
          <w:i w:val="0"/>
          <w:sz w:val="22"/>
        </w:rPr>
        <w:t>The following charts provide supplementary analysis supporting the main body of this memorandum.</w:t>
      </w:r>
    </w:p>
    <w:p>
      <w:r>
        <w:rPr>
          <w:rFonts w:ascii="Calibri" w:hAnsi="Calibri"/>
          <w:b/>
          <w:i w:val="0"/>
          <w:sz w:val="22"/>
        </w:rPr>
        <w:t>Volatility Surface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83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_surf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83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i w:val="0"/>
          <w:sz w:val="22"/>
        </w:rPr>
        <w:t>Correlation Sensitivity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43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3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i w:val="0"/>
          <w:sz w:val="22"/>
        </w:rPr>
        <w:t>Payoff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77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off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7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i w:val="0"/>
          <w:sz w:val="22"/>
        </w:rPr>
        <w:t>Knockout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98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ckout_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i w:val="0"/>
          <w:sz w:val="22"/>
        </w:rPr>
        <w:t>Valuation Comparison: Jan vs Feb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51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ation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i w:val="0"/>
          <w:sz w:val="22"/>
        </w:rPr>
        <w:t>Gold Price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24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_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4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76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76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76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