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6" w:name="Xae444bf45688df8edaa3172b9939e3d221016b7"/>
    <w:p>
      <w:pPr>
        <w:pStyle w:val="Heading1"/>
      </w:pPr>
      <w:r>
        <w:t xml:space="preserve">Product Development Proposal: Structured Gold Forward with Double Knock-Out Barriers</w:t>
      </w:r>
    </w:p>
    <w:bookmarkStart w:id="9" w:name="Xd7cd2d0cdc1506e2eb18c8b236a18865576944d"/>
    <w:p>
      <w:pPr>
        <w:pStyle w:val="Heading2"/>
      </w:pPr>
      <w:r>
        <w:t xml:space="preserve">Submitted to: Alphabank S.A. Product Committee</w:t>
      </w:r>
    </w:p>
    <w:bookmarkEnd w:id="9"/>
    <w:bookmarkStart w:id="10" w:name="prepared-by-director-of-product-rd"/>
    <w:p>
      <w:pPr>
        <w:pStyle w:val="Heading2"/>
      </w:pPr>
      <w:r>
        <w:t xml:space="preserve">Prepared by: Director of Product R&amp;D</w:t>
      </w:r>
    </w:p>
    <w:bookmarkEnd w:id="10"/>
    <w:bookmarkStart w:id="11" w:name="date-january-2026"/>
    <w:p>
      <w:pPr>
        <w:pStyle w:val="Heading2"/>
      </w:pPr>
      <w:r>
        <w:t xml:space="preserve">Date: January 2026</w:t>
      </w:r>
    </w:p>
    <w:p>
      <w:r>
        <w:pict>
          <v:rect style="width:0;height:1.5pt" o:hralign="center" o:hrstd="t" o:hr="t"/>
        </w:pict>
      </w:r>
    </w:p>
    <w:bookmarkEnd w:id="11"/>
    <w:bookmarkStart w:id="12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This proposal presents a comprehensive pricing framework for a structured forward contract designed to hedge Zeus Gold Group AG’s (</w:t>
      </w:r>
      <w:r>
        <w:t xml:space="preserve">“Z Group”</w:t>
      </w:r>
      <w:r>
        <w:t xml:space="preserve">) dual exposure to gold price volatility and EUR/USD exchange rate risk. The product features a gold forward component with embedded double knock-out barriers tied to the EUR/USD exchange rate, providing cost-effective risk management while limiting the bank’s exposure through the barrier feature.</w:t>
      </w:r>
    </w:p>
    <w:p>
      <w:pPr>
        <w:pStyle w:val="BodyText"/>
      </w:pPr>
      <w:r>
        <w:rPr>
          <w:b/>
          <w:bCs/>
        </w:rPr>
        <w:t xml:space="preserve">Key Product Parameters: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Notional Principal:</w:t>
      </w:r>
      <w:r>
        <w:t xml:space="preserve"> </w:t>
      </w:r>
      <w:r>
        <w:t xml:space="preserve">EUR 500 Million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Tenor:</w:t>
      </w:r>
      <w:r>
        <w:t xml:space="preserve"> </w:t>
      </w:r>
      <w:r>
        <w:t xml:space="preserve">2 Years (March 1, 2026 - February 28, 2028)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Gold Strike Price (K):</w:t>
      </w:r>
      <w:r>
        <w:t xml:space="preserve"> </w:t>
      </w:r>
      <w:r>
        <w:t xml:space="preserve">$4,600/oz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EUR/USD Barriers:</w:t>
      </w:r>
      <w:r>
        <w:t xml:space="preserve"> </w:t>
      </w:r>
      <w:r>
        <w:t xml:space="preserve">Lower = 1.05 (Knock-Out), Upper = 1.25 (Knock-Out)</w:t>
      </w:r>
    </w:p>
    <w:p>
      <w:pPr>
        <w:pStyle w:val="BodyText"/>
      </w:pPr>
      <w:r>
        <w:rPr>
          <w:b/>
          <w:bCs/>
        </w:rPr>
        <w:t xml:space="preserve">Pricing Methodology:</w:t>
      </w:r>
      <w:r>
        <w:t xml:space="preserve"> </w:t>
      </w:r>
      <w:r>
        <w:t xml:space="preserve">Two-factor correlated Geometric Brownian Motion (GBM) with Monte Carlo simulation incorporating variance reduction techniques.</w:t>
      </w:r>
    </w:p>
    <w:p>
      <w:r>
        <w:pict>
          <v:rect style="width:0;height:1.5pt" o:hralign="center" o:hrstd="t" o:hr="t"/>
        </w:pict>
      </w:r>
    </w:p>
    <w:bookmarkEnd w:id="12"/>
    <w:bookmarkStart w:id="13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57aa65f3b9a9db8782eb57d599b90bcfdf3b106">
        <w:r>
          <w:rPr>
            <w:rStyle w:val="Hyperlink"/>
          </w:rPr>
          <w:t xml:space="preserve">Product Overview and Economic Rationale</w:t>
        </w:r>
      </w:hyperlink>
    </w:p>
    <w:p>
      <w:pPr>
        <w:pStyle w:val="Compact"/>
        <w:numPr>
          <w:ilvl w:val="0"/>
          <w:numId w:val="1001"/>
        </w:numPr>
      </w:pPr>
      <w:hyperlink w:anchor="X56ec8ec41970e0e291a006e354a4ba5cf7d0319">
        <w:r>
          <w:rPr>
            <w:rStyle w:val="Hyperlink"/>
          </w:rPr>
          <w:t xml:space="preserve">Mathematical Framework</w:t>
        </w:r>
      </w:hyperlink>
    </w:p>
    <w:p>
      <w:pPr>
        <w:pStyle w:val="Compact"/>
        <w:numPr>
          <w:ilvl w:val="0"/>
          <w:numId w:val="1001"/>
        </w:numPr>
      </w:pPr>
      <w:hyperlink w:anchor="X4077e067d2493d30f8d871dd45c6a9fb2241c8f">
        <w:r>
          <w:rPr>
            <w:rStyle w:val="Hyperlink"/>
          </w:rPr>
          <w:t xml:space="preserve">Pricing Model Design</w:t>
        </w:r>
      </w:hyperlink>
    </w:p>
    <w:p>
      <w:pPr>
        <w:pStyle w:val="Compact"/>
        <w:numPr>
          <w:ilvl w:val="0"/>
          <w:numId w:val="1001"/>
        </w:numPr>
      </w:pPr>
      <w:hyperlink w:anchor="X8be24fdb1a009ffc09171ec98f16a4bf11d22e9">
        <w:r>
          <w:rPr>
            <w:rStyle w:val="Hyperlink"/>
          </w:rPr>
          <w:t xml:space="preserve">Numerical Implementation</w:t>
        </w:r>
      </w:hyperlink>
    </w:p>
    <w:p>
      <w:pPr>
        <w:pStyle w:val="Compact"/>
        <w:numPr>
          <w:ilvl w:val="0"/>
          <w:numId w:val="1001"/>
        </w:numPr>
      </w:pPr>
      <w:hyperlink w:anchor="Xf12a886244673a1b73a8e56061428ab35ff1b7b">
        <w:r>
          <w:rPr>
            <w:rStyle w:val="Hyperlink"/>
          </w:rPr>
          <w:t xml:space="preserve">Pricing Results and Analysis</w:t>
        </w:r>
      </w:hyperlink>
    </w:p>
    <w:p>
      <w:pPr>
        <w:pStyle w:val="Compact"/>
        <w:numPr>
          <w:ilvl w:val="0"/>
          <w:numId w:val="1001"/>
        </w:numPr>
      </w:pPr>
      <w:hyperlink w:anchor="X2cace78d36e25e3a098ac36bfeb0ea28222fd62">
        <w:r>
          <w:rPr>
            <w:rStyle w:val="Hyperlink"/>
          </w:rPr>
          <w:t xml:space="preserve">Risk Management and Greeks</w:t>
        </w:r>
      </w:hyperlink>
    </w:p>
    <w:p>
      <w:pPr>
        <w:pStyle w:val="Compact"/>
        <w:numPr>
          <w:ilvl w:val="0"/>
          <w:numId w:val="1001"/>
        </w:numPr>
      </w:pPr>
      <w:hyperlink w:anchor="Xf1b8b51910574f183faf7943919b373220ef726">
        <w:r>
          <w:rPr>
            <w:rStyle w:val="Hyperlink"/>
          </w:rPr>
          <w:t xml:space="preserve">Sensitivity Analysis</w:t>
        </w:r>
      </w:hyperlink>
    </w:p>
    <w:p>
      <w:pPr>
        <w:pStyle w:val="Compact"/>
        <w:numPr>
          <w:ilvl w:val="0"/>
          <w:numId w:val="1001"/>
        </w:numPr>
      </w:pPr>
      <w:hyperlink w:anchor="Xe60a061bbbf69f19925110b2d4bb7807c1d5045">
        <w:r>
          <w:rPr>
            <w:rStyle w:val="Hyperlink"/>
          </w:rPr>
          <w:t xml:space="preserve">Conclusions and Recommendations</w:t>
        </w:r>
      </w:hyperlink>
    </w:p>
    <w:p>
      <w:r>
        <w:pict>
          <v:rect style="width:0;height:1.5pt" o:hralign="center" o:hrstd="t" o:hr="t"/>
        </w:pict>
      </w:r>
    </w:p>
    <w:bookmarkEnd w:id="13"/>
    <w:bookmarkStart w:id="17" w:name="product-overview-and-economic-rationale"/>
    <w:p>
      <w:pPr>
        <w:pStyle w:val="Heading2"/>
      </w:pPr>
      <w:r>
        <w:t xml:space="preserve">1. Product Overview and Economic Rationale</w:t>
      </w:r>
    </w:p>
    <w:bookmarkStart w:id="14" w:name="client-risk-profile"/>
    <w:p>
      <w:pPr>
        <w:pStyle w:val="Heading3"/>
      </w:pPr>
      <w:r>
        <w:t xml:space="preserve">1.1 Client Risk Profile</w:t>
      </w:r>
    </w:p>
    <w:p>
      <w:pPr>
        <w:pStyle w:val="FirstParagraph"/>
      </w:pPr>
      <w:r>
        <w:t xml:space="preserve">Zeus Gold Group AG faces two interconnected risk exposures: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Gold Price Risk:</w:t>
      </w:r>
      <w:r>
        <w:t xml:space="preserve"> </w:t>
      </w:r>
      <w:r>
        <w:t xml:space="preserve">As a gold jewelry manufacturer procuring substantial raw materials settled in USD, Z Group is exposed to fluctuations in LBMA gold spot prices.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Currency Risk:</w:t>
      </w:r>
      <w:r>
        <w:t xml:space="preserve"> </w:t>
      </w:r>
      <w:r>
        <w:t xml:space="preserve">With consolidated financial statements reported in EUR, Z Group bears EUR/USD exchange rate risk on USD-denominated gold purchases.</w:t>
      </w:r>
    </w:p>
    <w:bookmarkEnd w:id="14"/>
    <w:bookmarkStart w:id="15" w:name="product-structure"/>
    <w:p>
      <w:pPr>
        <w:pStyle w:val="Heading3"/>
      </w:pPr>
      <w:r>
        <w:t xml:space="preserve">1.2 Product Structure</w:t>
      </w:r>
    </w:p>
    <w:p>
      <w:pPr>
        <w:pStyle w:val="FirstParagraph"/>
      </w:pPr>
      <w:r>
        <w:t xml:space="preserve">The structured forward combines: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Primary Component:</w:t>
      </w:r>
      <w:r>
        <w:t xml:space="preserve"> </w:t>
      </w:r>
      <w:r>
        <w:t xml:space="preserve">A forward contract on gold referenced to LBMA spot prices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Embedded Feature:</w:t>
      </w:r>
      <w:r>
        <w:t xml:space="preserve"> </w:t>
      </w:r>
      <w:r>
        <w:t xml:space="preserve">Double knock-out barriers on EUR/USD providing automatic early termination</w:t>
      </w:r>
    </w:p>
    <w:p>
      <w:pPr>
        <w:pStyle w:val="FirstParagraph"/>
      </w:pPr>
      <w:r>
        <w:rPr>
          <w:b/>
          <w:bCs/>
        </w:rPr>
        <w:t xml:space="preserve">Settlement Payoffs (at time τ):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Z Group Payoff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τ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num>
            <m:den>
              <m:r>
                <m:t>K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A Bank Payoff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K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τ</m:t>
                  </m:r>
                </m:sub>
              </m:sSub>
            </m:num>
            <m:den>
              <m:r>
                <m:t>K</m:t>
              </m:r>
            </m:den>
          </m:f>
        </m:oMath>
      </m:oMathPara>
    </w:p>
    <w:p>
      <w:pPr>
        <w:pStyle w:val="FirstParagraph"/>
      </w:pPr>
      <w:r>
        <w:t xml:space="preserve">Where:</w:t>
      </w:r>
      <w:r>
        <w:t xml:space="preserve"> </w:t>
      </w:r>
      <w:r>
        <w:t xml:space="preserve">-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= EUR 500,000,000 (Notional)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P</m:t>
            </m:r>
          </m:e>
          <m:sub>
            <m:r>
              <m:t>τ</m:t>
            </m:r>
          </m:sub>
        </m:sSub>
      </m:oMath>
      <w:r>
        <w:t xml:space="preserve"> </w:t>
      </w:r>
      <w:r>
        <w:t xml:space="preserve">= LBMA Gold Spot Price at settlement</w:t>
      </w:r>
      <w:r>
        <w:t xml:space="preserve"> </w:t>
      </w:r>
      <w:r>
        <w:t xml:space="preserve">-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= $4,600/oz (Strike)</w:t>
      </w:r>
      <w:r>
        <w:t xml:space="preserve"> </w:t>
      </w:r>
      <w:r>
        <w:t xml:space="preserve">-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= min(T, first barrier breach time)</w:t>
      </w:r>
    </w:p>
    <w:bookmarkEnd w:id="15"/>
    <w:bookmarkStart w:id="16" w:name="barrier-mechanism"/>
    <w:p>
      <w:pPr>
        <w:pStyle w:val="Heading3"/>
      </w:pPr>
      <w:r>
        <w:t xml:space="preserve">1.3 Barrier Mechanism</w:t>
      </w:r>
    </w:p>
    <w:p>
      <w:pPr>
        <w:pStyle w:val="FirstParagraph"/>
      </w:pPr>
      <w:r>
        <w:t xml:space="preserve">The EUR/USD double knock-out feature: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Lower Barrier (1.05):</w:t>
      </w:r>
      <w:r>
        <w:t xml:space="preserve"> </w:t>
      </w:r>
      <w:r>
        <w:t xml:space="preserve">If EUR/USD &lt; 1.05, contract terminates immediately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Upper Barrier (1.25):</w:t>
      </w:r>
      <w:r>
        <w:t xml:space="preserve"> </w:t>
      </w:r>
      <w:r>
        <w:t xml:space="preserve">If EUR/USD &gt; 1.25, contract terminates immediately</w:t>
      </w:r>
    </w:p>
    <w:p>
      <w:pPr>
        <w:pStyle w:val="FirstParagraph"/>
      </w:pPr>
      <w:r>
        <w:rPr>
          <w:b/>
          <w:bCs/>
        </w:rPr>
        <w:t xml:space="preserve">Economic Rationale: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For Z Group:</w:t>
      </w:r>
      <w:r>
        <w:t xml:space="preserve"> </w:t>
      </w:r>
      <w:r>
        <w:t xml:space="preserve">Provides gold price hedging with natural currency constraint - if EUR/USD moves to extreme levels, the hedge terminates, allowing Z Group to reassess their hedging strategy under new FX conditions.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For A Bank:</w:t>
      </w:r>
      <w:r>
        <w:t xml:space="preserve"> </w:t>
      </w:r>
      <w:r>
        <w:t xml:space="preserve">The barriers limit the bank’s exposure duration and provide natural risk reduction, enabling competitive pricing through lower premiums.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2" w:name="mathematical-framework"/>
    <w:p>
      <w:pPr>
        <w:pStyle w:val="Heading2"/>
      </w:pPr>
      <w:r>
        <w:t xml:space="preserve">2. Mathematical Framework</w:t>
      </w:r>
    </w:p>
    <w:bookmarkStart w:id="18" w:name="X39fba843d4b2004f53223d689274f7585825a8c"/>
    <w:p>
      <w:pPr>
        <w:pStyle w:val="Heading3"/>
      </w:pPr>
      <w:r>
        <w:t xml:space="preserve">2.1 Asset Dynamics under Risk-Neutral Measure</w:t>
      </w:r>
    </w:p>
    <w:p>
      <w:pPr>
        <w:pStyle w:val="FirstParagraph"/>
      </w:pPr>
      <w:r>
        <w:t xml:space="preserve">We model the two underlying assets using correlated Geometric Brownian Motion (GBM) under the risk-neutral measure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w:r>
        <w:rPr>
          <w:b/>
          <w:bCs/>
        </w:rPr>
        <w:t xml:space="preserve">Gold Price (in USD):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sSub>
                <m:e>
                  <m:r>
                    <m:t>S</m:t>
                  </m:r>
                </m:e>
                <m:sub>
                  <m:r>
                    <m:t>t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t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b>
            <m:e>
              <m:r>
                <m:t>r</m:t>
              </m:r>
            </m:e>
            <m:sub>
              <m:r>
                <m:t>U</m:t>
              </m:r>
              <m:r>
                <m:t>S</m:t>
              </m:r>
              <m:r>
                <m:t>D</m:t>
              </m:r>
            </m:sub>
          </m:sSub>
          <m:r>
            <m:rPr>
              <m:sty m:val="p"/>
            </m:rPr>
            <m:t>−</m:t>
          </m:r>
          <m:r>
            <m:t>q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+</m:t>
          </m:r>
          <m:sSub>
            <m:e>
              <m:r>
                <m:t>σ</m:t>
              </m:r>
            </m:e>
            <m:sub>
              <m:r>
                <m:t>S</m:t>
              </m:r>
            </m:sub>
          </m:sSub>
          <m:r>
            <m:t> </m:t>
          </m:r>
          <m:r>
            <m:t>d</m:t>
          </m:r>
          <m:sSubSup>
            <m:e>
              <m:r>
                <m:t>W</m:t>
              </m:r>
            </m:e>
            <m:sub>
              <m:r>
                <m:t>t</m:t>
              </m:r>
            </m:sub>
            <m:sup>
              <m:r>
                <m:t>S</m:t>
              </m:r>
            </m:sup>
          </m:sSubSup>
        </m:oMath>
      </m:oMathPara>
    </w:p>
    <w:p>
      <w:pPr>
        <w:pStyle w:val="FirstParagraph"/>
      </w:pPr>
      <w:r>
        <w:rPr>
          <w:b/>
          <w:bCs/>
        </w:rPr>
        <w:t xml:space="preserve">EUR/USD Exchange Rate: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sSub>
                <m:e>
                  <m:r>
                    <m:t>X</m:t>
                  </m:r>
                </m:e>
                <m:sub>
                  <m:r>
                    <m:t>t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t>t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b>
            <m:e>
              <m:r>
                <m:t>r</m:t>
              </m:r>
            </m:e>
            <m:sub>
              <m:r>
                <m:t>E</m:t>
              </m:r>
              <m:r>
                <m:t>U</m:t>
              </m:r>
              <m:r>
                <m:t>R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U</m:t>
              </m:r>
              <m:r>
                <m:t>S</m:t>
              </m:r>
              <m:r>
                <m:t>D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+</m:t>
          </m:r>
          <m:sSub>
            <m:e>
              <m:r>
                <m:t>σ</m:t>
              </m:r>
            </m:e>
            <m:sub>
              <m:r>
                <m:t>X</m:t>
              </m:r>
            </m:sub>
          </m:sSub>
          <m:r>
            <m:t> </m:t>
          </m:r>
          <m:r>
            <m:t>d</m:t>
          </m:r>
          <m:sSubSup>
            <m:e>
              <m:r>
                <m:t>W</m:t>
              </m:r>
            </m:e>
            <m:sub>
              <m:r>
                <m:t>t</m:t>
              </m:r>
            </m:sub>
            <m:sup>
              <m:r>
                <m:t>X</m:t>
              </m:r>
            </m:sup>
          </m:sSubSup>
        </m:oMath>
      </m:oMathPara>
    </w:p>
    <w:p>
      <w:pPr>
        <w:pStyle w:val="FirstParagraph"/>
      </w:pPr>
      <w:r>
        <w:rPr>
          <w:b/>
          <w:bCs/>
        </w:rPr>
        <w:t xml:space="preserve">Correlation Structure: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sSubSup>
            <m:e>
              <m:r>
                <m:t>W</m:t>
              </m:r>
            </m:e>
            <m:sub>
              <m:r>
                <m:t>t</m:t>
              </m:r>
            </m:sub>
            <m:sup>
              <m:r>
                <m:t>S</m:t>
              </m:r>
            </m:sup>
          </m:sSubSup>
          <m:r>
            <m:rPr>
              <m:sty m:val="p"/>
            </m:rPr>
            <m:t>⋅</m:t>
          </m:r>
          <m:r>
            <m:t>d</m:t>
          </m:r>
          <m:sSubSup>
            <m:e>
              <m:r>
                <m:t>W</m:t>
              </m:r>
            </m:e>
            <m:sub>
              <m:r>
                <m:t>t</m:t>
              </m:r>
            </m:sub>
            <m:sup>
              <m:r>
                <m:t>X</m:t>
              </m:r>
            </m:sup>
          </m:sSubSup>
          <m:r>
            <m:rPr>
              <m:sty m:val="p"/>
            </m:rPr>
            <m:t>=</m:t>
          </m:r>
          <m:r>
            <m:t>ρ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Where: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r</m:t>
            </m:r>
          </m:e>
          <m:sub>
            <m:r>
              <m:t>U</m:t>
            </m:r>
            <m:r>
              <m:t>S</m:t>
            </m:r>
            <m:r>
              <m:t>D</m:t>
            </m:r>
          </m:sub>
        </m:sSub>
      </m:oMath>
      <w:r>
        <w:t xml:space="preserve"> </w:t>
      </w:r>
      <w:r>
        <w:t xml:space="preserve">= USD risk-free rate (≈ 4.5%)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r</m:t>
            </m:r>
          </m:e>
          <m:sub>
            <m:r>
              <m:t>E</m:t>
            </m:r>
            <m:r>
              <m:t>U</m:t>
            </m:r>
            <m:r>
              <m:t>R</m:t>
            </m:r>
          </m:sub>
        </m:sSub>
      </m:oMath>
      <w:r>
        <w:t xml:space="preserve"> </w:t>
      </w:r>
      <w:r>
        <w:t xml:space="preserve">= EUR risk-free rate (≈ 2.5%)</w:t>
      </w:r>
      <w:r>
        <w:t xml:space="preserve"> </w:t>
      </w:r>
      <w:r>
        <w:t xml:space="preserve">-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= Gold convenience yield/lease rate (≈ 0.5%)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σ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= Gold volatility (≈ 18%)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= EUR/USD volatility (≈ 8%)</w:t>
      </w:r>
      <w:r>
        <w:t xml:space="preserve"> </w:t>
      </w:r>
      <w:r>
        <w:t xml:space="preserve">-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= Asset correlation (typically negative, ≈ -0.25)</w:t>
      </w:r>
    </w:p>
    <w:bookmarkEnd w:id="18"/>
    <w:bookmarkStart w:id="19" w:name="choice-of-pricing-measure"/>
    <w:p>
      <w:pPr>
        <w:pStyle w:val="Heading3"/>
      </w:pPr>
      <w:r>
        <w:t xml:space="preserve">2.2 Choice of Pricing Measure</w:t>
      </w:r>
    </w:p>
    <w:p>
      <w:pPr>
        <w:pStyle w:val="FirstParagraph"/>
      </w:pPr>
      <w:r>
        <w:t xml:space="preserve">Since payoffs are settled in EUR, we price under the EUR risk-neutral measure: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sSup>
            <m:e>
              <m:r>
                <m:rPr>
                  <m:scr m:val="double-struck"/>
                  <m:sty m:val="p"/>
                </m:rPr>
                <m:t>E</m:t>
              </m:r>
            </m:e>
            <m:sup>
              <m:r>
                <m:rPr>
                  <m:scr m:val="double-struck"/>
                  <m:sty m:val="p"/>
                </m:rPr>
                <m:t>Q</m:t>
              </m:r>
            </m:sup>
          </m:sSup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E</m:t>
                      </m:r>
                      <m:r>
                        <m:t>U</m:t>
                      </m:r>
                      <m:r>
                        <m:t>R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t>τ</m:t>
                  </m:r>
                </m:sup>
              </m:sSup>
              <m:r>
                <m:rPr>
                  <m:sty m:val="p"/>
                </m:rPr>
                <m:t>×</m:t>
              </m:r>
              <m:sSub>
                <m:e>
                  <m:r>
                    <m:rPr>
                      <m:nor/>
                      <m:sty m:val="p"/>
                    </m:rPr>
                    <m:t>Payoff</m:t>
                  </m:r>
                </m:e>
                <m:sub>
                  <m:r>
                    <m:t>τ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The EUR/USD drift under this measure follows covered interest rate parity: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sSub>
            <m:e>
              <m:r>
                <m:t>r</m:t>
              </m:r>
            </m:e>
            <m:sub>
              <m:r>
                <m:t>E</m:t>
              </m:r>
              <m:r>
                <m:t>U</m:t>
              </m:r>
              <m:r>
                <m:t>R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U</m:t>
              </m:r>
              <m:r>
                <m:t>S</m:t>
              </m:r>
              <m:r>
                <m:t>D</m:t>
              </m:r>
            </m:sub>
          </m:sSub>
        </m:oMath>
      </m:oMathPara>
    </w:p>
    <w:p>
      <w:pPr>
        <w:pStyle w:val="FirstParagraph"/>
      </w:pPr>
      <w:r>
        <w:t xml:space="preserve">This represents the forward premium/discount implied by interest rate differentials.</w:t>
      </w:r>
    </w:p>
    <w:bookmarkEnd w:id="19"/>
    <w:bookmarkStart w:id="20" w:name="log-normal-dynamics"/>
    <w:p>
      <w:pPr>
        <w:pStyle w:val="Heading3"/>
      </w:pPr>
      <w:r>
        <w:t xml:space="preserve">2.3 Log-Normal Dynamics</w:t>
      </w:r>
    </w:p>
    <w:p>
      <w:pPr>
        <w:pStyle w:val="FirstParagraph"/>
      </w:pPr>
      <w:r>
        <w:t xml:space="preserve">For numerical simulation, we use the exact solution to the GBM SDE: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exp</m:t>
          </m:r>
          <m:d>
            <m:dPr>
              <m:begChr m:val="["/>
              <m:sepChr m:val=""/>
              <m:endChr m:val="]"/>
              <m:grow/>
            </m:dPr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S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S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rPr>
                  <m:sty m:val="p"/>
                </m:rPr>
                <m:t>Δ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σ</m:t>
                  </m:r>
                </m:e>
                <m:sub>
                  <m:r>
                    <m:t>S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Δ</m:t>
                  </m:r>
                  <m:r>
                    <m:t>t</m:t>
                  </m:r>
                </m:e>
              </m:rad>
              <m:r>
                <m:rPr>
                  <m:sty m:val="p"/>
                </m:rPr>
                <m:t>⋅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exp</m:t>
          </m:r>
          <m:d>
            <m:dPr>
              <m:begChr m:val="["/>
              <m:sepChr m:val=""/>
              <m:endChr m:val="]"/>
              <m:grow/>
            </m:dPr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rPr>
                  <m:sty m:val="p"/>
                </m:rPr>
                <m:t>Δ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Δ</m:t>
                  </m:r>
                  <m:r>
                    <m:t>t</m:t>
                  </m:r>
                </m:e>
              </m:rad>
              <m:r>
                <m:rPr>
                  <m:sty m:val="p"/>
                </m:rPr>
                <m:t>⋅</m:t>
              </m:r>
              <m:sSub>
                <m:e>
                  <m:r>
                    <m:t>Z</m:t>
                  </m:r>
                </m:e>
                <m:sub>
                  <m:r>
                    <m:t>2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correlated standard normals generated via Cholesky decomposition: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ρ</m:t>
          </m:r>
          <m:sSub>
            <m:e>
              <m:r>
                <m:t>Z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⋅</m:t>
          </m:r>
          <m:sSub>
            <m:e>
              <m:r>
                <m:t>Z</m:t>
              </m:r>
            </m:e>
            <m:sub>
              <m:r>
                <m:rPr>
                  <m:sty m:val="p"/>
                </m:rPr>
                <m:t>⟂</m:t>
              </m:r>
            </m:sub>
          </m:sSub>
        </m:oMath>
      </m:oMathPara>
    </w:p>
    <w:bookmarkEnd w:id="20"/>
    <w:bookmarkStart w:id="21" w:name="barrier-monitoring"/>
    <w:p>
      <w:pPr>
        <w:pStyle w:val="Heading3"/>
      </w:pPr>
      <w:r>
        <w:t xml:space="preserve">2.4 Barrier Monitoring</w:t>
      </w:r>
    </w:p>
    <w:p>
      <w:pPr>
        <w:pStyle w:val="FirstParagraph"/>
      </w:pPr>
      <w:r>
        <w:t xml:space="preserve">The knock-out condition is monitored continuously: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=</m:t>
          </m:r>
          <m:r>
            <m:rPr>
              <m:sty m:val="p"/>
            </m:rPr>
            <m:t>min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{</m:t>
              </m:r>
              <m:r>
                <m:t>t</m:t>
              </m:r>
              <m:r>
                <m:rPr>
                  <m:sty m:val="p"/>
                </m:rPr>
                <m:t>:</m:t>
              </m:r>
              <m:sSub>
                <m:e>
                  <m:r>
                    <m:t>X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L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X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U</m:t>
              </m:r>
              <m:r>
                <m:rPr>
                  <m:sty m:val="p"/>
                </m:rPr>
                <m:t>}</m:t>
              </m:r>
            </m:e>
          </m: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1.25</m:t>
        </m:r>
      </m:oMath>
      <w:r>
        <w:t xml:space="preserve"> </w:t>
      </w:r>
      <w:r>
        <w:t xml:space="preserve">are the lower and upper barriers.</w:t>
      </w:r>
    </w:p>
    <w:p>
      <w:pPr>
        <w:pStyle w:val="BodyText"/>
      </w:pPr>
      <w:r>
        <w:t xml:space="preserve">In discrete simulation, we approximate continuous monitoring with small time steps (daily granularity: 504 steps over 2 years).</w:t>
      </w:r>
    </w:p>
    <w:p>
      <w:pPr>
        <w:pStyle w:val="BodyText"/>
      </w:pPr>
      <w:r>
        <w:rPr>
          <w:b/>
          <w:bCs/>
        </w:rPr>
        <w:t xml:space="preserve">[INSERT FIGURE: output/monte_carlo_paths.png]</w:t>
      </w:r>
    </w:p>
    <w:p>
      <w:pPr>
        <w:pStyle w:val="BodyText"/>
      </w:pPr>
      <w:r>
        <w:rPr>
          <w:i/>
          <w:iCs/>
        </w:rPr>
        <w:t xml:space="preserve">Figure 2.1: Sample Monte Carlo simulation paths for Gold (top) and EUR/USD (bottom) showing surviving paths (blue) and knocked-out paths (red)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7" w:name="pricing-model-design"/>
    <w:p>
      <w:pPr>
        <w:pStyle w:val="Heading2"/>
      </w:pPr>
      <w:r>
        <w:t xml:space="preserve">3. Pricing Model Design</w:t>
      </w:r>
    </w:p>
    <w:bookmarkStart w:id="23" w:name="two-factor-correlated-model"/>
    <w:p>
      <w:pPr>
        <w:pStyle w:val="Heading3"/>
      </w:pPr>
      <w:r>
        <w:t xml:space="preserve">3.1 Two-Factor Correlated Model</w:t>
      </w:r>
    </w:p>
    <w:p>
      <w:pPr>
        <w:pStyle w:val="FirstParagraph"/>
      </w:pPr>
      <w:r>
        <w:t xml:space="preserve">The pricing model consists of two coupled stochastic processes:</w:t>
      </w:r>
    </w:p>
    <w:p>
      <w:pPr>
        <w:pStyle w:val="BodyText"/>
      </w:pPr>
      <w:r>
        <w:rPr>
          <w:b/>
          <w:bCs/>
        </w:rPr>
        <w:t xml:space="preserve">Factor 1 - Gold:</w:t>
      </w:r>
      <w:r>
        <w:t xml:space="preserve"> </w:t>
      </w:r>
      <w:r>
        <w:t xml:space="preserve">Drives the payoff magnitude</w:t>
      </w:r>
      <w:r>
        <w:t xml:space="preserve"> </w:t>
      </w:r>
      <w:r>
        <w:rPr>
          <w:b/>
          <w:bCs/>
        </w:rPr>
        <w:t xml:space="preserve">Factor 2 - EUR/USD:</w:t>
      </w:r>
      <w:r>
        <w:t xml:space="preserve"> </w:t>
      </w:r>
      <w:r>
        <w:t xml:space="preserve">Determines contract survival/termination</w:t>
      </w:r>
    </w:p>
    <w:p>
      <w:pPr>
        <w:pStyle w:val="BodyText"/>
      </w:pPr>
      <w:r>
        <w:t xml:space="preserve">The correlation between factors is critical: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Negative correlation</w:t>
      </w:r>
      <w:r>
        <w:t xml:space="preserve"> </w:t>
      </w:r>
      <w:r>
        <w:t xml:space="preserve">(typical): When USD strengthens (EUR/USD falls), gold tends to rise</w:t>
      </w:r>
      <w:r>
        <w:t xml:space="preserve"> </w:t>
      </w:r>
      <w:r>
        <w:t xml:space="preserve">- This dampens overall portfolio risk but affects barrier breach probabilities</w:t>
      </w:r>
    </w:p>
    <w:bookmarkEnd w:id="23"/>
    <w:bookmarkStart w:id="24" w:name="X6d489739b2c108df5a1ee77672c45e54b501562"/>
    <w:p>
      <w:pPr>
        <w:pStyle w:val="Heading3"/>
      </w:pPr>
      <w:r>
        <w:t xml:space="preserve">3.2 Correlation Implementation via Cholesky Decomposition</w:t>
      </w:r>
    </w:p>
    <w:p>
      <w:pPr>
        <w:pStyle w:val="FirstParagraph"/>
      </w:pPr>
      <w:r>
        <w:t xml:space="preserve">To generate correlated Brownian increments: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r>
                          <m:t>W</m:t>
                        </m:r>
                      </m:e>
                      <m:sup>
                        <m:r>
                          <m:t>S</m:t>
                        </m:r>
                      </m:sup>
                    </m:sSup>
                  </m:e>
                </m:mr>
                <m:mr>
                  <m:e>
                    <m:sSup>
                      <m:e>
                        <m:r>
                          <m:t>W</m:t>
                        </m:r>
                      </m:e>
                      <m:sup>
                        <m:r>
                          <m:t>X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ρ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ρ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rad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Z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Z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independent.</w:t>
      </w:r>
    </w:p>
    <w:bookmarkEnd w:id="24"/>
    <w:bookmarkStart w:id="25" w:name="path-dependent-pricing"/>
    <w:p>
      <w:pPr>
        <w:pStyle w:val="Heading3"/>
      </w:pPr>
      <w:r>
        <w:t xml:space="preserve">3.3 Path-Dependent Pricing</w:t>
      </w:r>
    </w:p>
    <w:p>
      <w:pPr>
        <w:pStyle w:val="FirstParagraph"/>
      </w:pPr>
      <w:r>
        <w:t xml:space="preserve">The knock-out feature makes this a path-dependent exotic option. Key considerations: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No closed-form solution</w:t>
      </w:r>
      <w:r>
        <w:t xml:space="preserve"> </w:t>
      </w:r>
      <w:r>
        <w:t xml:space="preserve">exists due to the two-factor structure with barriers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Monte Carlo simulation</w:t>
      </w:r>
      <w:r>
        <w:t xml:space="preserve"> </w:t>
      </w:r>
      <w:r>
        <w:t xml:space="preserve">is the natural choice for pricing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Variance reduction</w:t>
      </w:r>
      <w:r>
        <w:t xml:space="preserve"> </w:t>
      </w:r>
      <w:r>
        <w:t xml:space="preserve">is essential for computational efficiency</w:t>
      </w:r>
    </w:p>
    <w:bookmarkEnd w:id="25"/>
    <w:bookmarkStart w:id="26" w:name="variance-reduction-techniques"/>
    <w:p>
      <w:pPr>
        <w:pStyle w:val="Heading3"/>
      </w:pPr>
      <w:r>
        <w:t xml:space="preserve">3.4 Variance Reduction Techniques</w:t>
      </w:r>
    </w:p>
    <w:p>
      <w:pPr>
        <w:pStyle w:val="FirstParagraph"/>
      </w:pPr>
      <w:r>
        <w:t xml:space="preserve">We implement two variance reduction methods:</w:t>
      </w:r>
    </w:p>
    <w:p>
      <w:pPr>
        <w:pStyle w:val="BodyText"/>
      </w:pPr>
      <w:r>
        <w:rPr>
          <w:b/>
          <w:bCs/>
        </w:rPr>
        <w:t xml:space="preserve">1. Antithetic Variates:</w:t>
      </w:r>
      <w:r>
        <w:t xml:space="preserve"> </w:t>
      </w:r>
      <w:r>
        <w:t xml:space="preserve">For each random path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W</m:t>
            </m:r>
          </m:e>
          <m:sub>
            <m:r>
              <m:t>t</m:t>
            </m:r>
          </m:sub>
        </m:sSub>
        <m:r>
          <m:rPr>
            <m:sty m:val="p"/>
          </m:rPr>
          <m:t>}</m:t>
        </m:r>
      </m:oMath>
      <w:r>
        <w:t xml:space="preserve">, we simulate the mirror path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t</m:t>
            </m:r>
          </m:sub>
        </m:sSub>
        <m:r>
          <m:rPr>
            <m:sty m:val="p"/>
          </m:rPr>
          <m:t>}</m:t>
        </m:r>
      </m:oMath>
      <w:r>
        <w:t xml:space="preserve">. Both paths contribute to the estimate, reducing variance by exploiting negative correlation.</w:t>
      </w:r>
    </w:p>
    <w:p>
      <w:pPr>
        <w:pStyle w:val="BodyText"/>
      </w:pPr>
      <w:r>
        <w:rPr>
          <w:b/>
          <w:bCs/>
        </w:rPr>
        <w:t xml:space="preserve">2. Control Variate:</w:t>
      </w:r>
      <w:r>
        <w:t xml:space="preserve"> </w:t>
      </w:r>
      <w:r>
        <w:t xml:space="preserve">We use the vanilla gold forward (without barriers) as a control:</w:t>
      </w:r>
      <w:r>
        <w:t xml:space="preserve"> </w:t>
      </w:r>
      <w:r>
        <w:t xml:space="preserve">- Analytical vanilla forward price is known exactly</w:t>
      </w:r>
      <w:r>
        <w:t xml:space="preserve"> </w:t>
      </w:r>
      <w:r>
        <w:t xml:space="preserve">- Strong correlation with our exotic payoff</w:t>
      </w:r>
      <w:r>
        <w:t xml:space="preserve"> </w:t>
      </w:r>
      <w:r>
        <w:t xml:space="preserve">- Adjustment: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‾"/>
              </m:accPr>
              <m:e>
                <m:r>
                  <m:t>V</m:t>
                </m:r>
              </m:e>
            </m:acc>
          </m:e>
          <m:sub>
            <m:r>
              <m:t>e</m:t>
            </m:r>
            <m:r>
              <m:t>x</m:t>
            </m:r>
            <m:r>
              <m:t>o</m:t>
            </m:r>
            <m:r>
              <m:t>t</m:t>
            </m:r>
            <m:r>
              <m:t>i</m:t>
            </m:r>
            <m:r>
              <m:t>c</m:t>
            </m:r>
          </m:sub>
        </m:sSub>
        <m:r>
          <m:rPr>
            <m:sty m:val="p"/>
          </m:rPr>
          <m:t>+</m:t>
        </m:r>
        <m:r>
          <m:t>β</m:t>
        </m:r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V</m:t>
                </m:r>
              </m:e>
            </m:acc>
          </m:e>
          <m:sub>
            <m:r>
              <m:t>c</m:t>
            </m:r>
            <m:r>
              <m:t>o</m:t>
            </m:r>
            <m:r>
              <m:t>n</m:t>
            </m:r>
            <m:r>
              <m:t>t</m:t>
            </m:r>
            <m:r>
              <m:t>r</m:t>
            </m:r>
            <m:r>
              <m:t>o</m:t>
            </m:r>
            <m:r>
              <m:t>l</m:t>
            </m:r>
          </m:sub>
        </m:sSub>
        <m:r>
          <m:rPr>
            <m:sty m:val="p"/>
          </m:rPr>
          <m:t>−</m:t>
        </m:r>
        <m:sSubSup>
          <m:e>
            <m:r>
              <m:t>V</m:t>
            </m:r>
          </m:e>
          <m:sub>
            <m:r>
              <m:t>c</m:t>
            </m:r>
            <m:r>
              <m:t>o</m:t>
            </m:r>
            <m:r>
              <m:t>n</m:t>
            </m:r>
            <m:r>
              <m:t>t</m:t>
            </m:r>
            <m:r>
              <m:t>r</m:t>
            </m:r>
            <m:r>
              <m:t>o</m:t>
            </m:r>
            <m:r>
              <m:t>l</m:t>
            </m:r>
          </m:sub>
          <m:sup>
            <m:r>
              <m:t>a</m:t>
            </m:r>
            <m:r>
              <m:t>n</m:t>
            </m:r>
            <m:r>
              <m:t>a</m:t>
            </m:r>
            <m:r>
              <m:t>l</m:t>
            </m:r>
            <m:r>
              <m:t>y</m:t>
            </m:r>
            <m:r>
              <m:t>t</m:t>
            </m:r>
            <m:r>
              <m:t>i</m:t>
            </m:r>
            <m:r>
              <m:t>c</m:t>
            </m:r>
            <m:r>
              <m:t>a</m:t>
            </m:r>
            <m:r>
              <m:t>l</m:t>
            </m:r>
          </m:sup>
        </m:sSubSup>
        <m:r>
          <m:rPr>
            <m:sty m:val="p"/>
          </m:rPr>
          <m:t>)</m:t>
        </m:r>
      </m:oMath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numerical-implementation"/>
    <w:p>
      <w:pPr>
        <w:pStyle w:val="Heading2"/>
      </w:pPr>
      <w:r>
        <w:t xml:space="preserve">4. Numerical Implementation</w:t>
      </w:r>
    </w:p>
    <w:bookmarkStart w:id="28" w:name="simulation-parameters"/>
    <w:p>
      <w:pPr>
        <w:pStyle w:val="Heading3"/>
      </w:pPr>
      <w:r>
        <w:t xml:space="preserve">4.1 Simulation Parameters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Number of Paths</w:t>
            </w:r>
          </w:p>
        </w:tc>
        <w:tc>
          <w:tcPr/>
          <w:p>
            <w:pPr>
              <w:pStyle w:val="Compact"/>
            </w:pPr>
            <w:r>
              <w:t xml:space="preserve">100,000</w:t>
            </w:r>
          </w:p>
        </w:tc>
        <w:tc>
          <w:tcPr/>
          <w:p>
            <w:pPr>
              <w:pStyle w:val="Compact"/>
            </w:pPr>
            <w:r>
              <w:t xml:space="preserve">Balance accuracy and computation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 Steps</w:t>
            </w:r>
          </w:p>
        </w:tc>
        <w:tc>
          <w:tcPr/>
          <w:p>
            <w:pPr>
              <w:pStyle w:val="Compact"/>
            </w:pPr>
            <w:r>
              <w:t xml:space="preserve">504</w:t>
            </w:r>
          </w:p>
        </w:tc>
        <w:tc>
          <w:tcPr/>
          <w:p>
            <w:pPr>
              <w:pStyle w:val="Compact"/>
            </w:pPr>
            <w:r>
              <w:t xml:space="preserve">≈ 252 trading days × 2 years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 Seed</w:t>
            </w:r>
          </w:p>
        </w:tc>
        <w:tc>
          <w:tcPr/>
          <w:p>
            <w:pPr>
              <w:pStyle w:val="Compac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r>
              <w:t xml:space="preserve">Reproducibility</w:t>
            </w:r>
          </w:p>
        </w:tc>
      </w:tr>
    </w:tbl>
    <w:bookmarkEnd w:id="28"/>
    <w:bookmarkStart w:id="29" w:name="algorithm-overview"/>
    <w:p>
      <w:pPr>
        <w:pStyle w:val="Heading3"/>
      </w:pPr>
      <w:r>
        <w:t xml:space="preserve">4.2 Algorithm Overview</w:t>
      </w:r>
    </w:p>
    <w:p>
      <w:pPr>
        <w:pStyle w:val="SourceCode"/>
      </w:pPr>
      <w:r>
        <w:rPr>
          <w:rStyle w:val="VerbatimChar"/>
        </w:rPr>
        <w:t xml:space="preserve">Algorithm: Monte Carlo Pricing with Variance Reduction</w:t>
      </w:r>
      <w:r>
        <w:br/>
      </w:r>
      <w:r>
        <w:br/>
      </w:r>
      <w:r>
        <w:rPr>
          <w:rStyle w:val="VerbatimChar"/>
        </w:rPr>
        <w:t xml:space="preserve">Input: Market data, Contract terms, Simulation parameters</w:t>
      </w:r>
      <w:r>
        <w:br/>
      </w:r>
      <w:r>
        <w:rPr>
          <w:rStyle w:val="VerbatimChar"/>
        </w:rPr>
        <w:t xml:space="preserve">Output: Present value, Standard error, Greeks</w:t>
      </w:r>
      <w:r>
        <w:br/>
      </w:r>
      <w:r>
        <w:br/>
      </w:r>
      <w:r>
        <w:rPr>
          <w:rStyle w:val="VerbatimChar"/>
        </w:rPr>
        <w:t xml:space="preserve">1. Generate n_paths/2 correlated normal random sequences</w:t>
      </w:r>
      <w:r>
        <w:br/>
      </w:r>
      <w:r>
        <w:rPr>
          <w:rStyle w:val="VerbatimChar"/>
        </w:rPr>
        <w:t xml:space="preserve">2. Apply antithetic transformation to create n_paths total</w:t>
      </w:r>
      <w:r>
        <w:br/>
      </w:r>
      <w:r>
        <w:rPr>
          <w:rStyle w:val="VerbatimChar"/>
        </w:rPr>
        <w:t xml:space="preserve">3. For each path i:</w:t>
      </w:r>
      <w:r>
        <w:br/>
      </w:r>
      <w:r>
        <w:rPr>
          <w:rStyle w:val="VerbatimChar"/>
        </w:rPr>
        <w:t xml:space="preserve">   a. Simulate gold and EUR/USD prices at each time step</w:t>
      </w:r>
      <w:r>
        <w:br/>
      </w:r>
      <w:r>
        <w:rPr>
          <w:rStyle w:val="VerbatimChar"/>
        </w:rPr>
        <w:t xml:space="preserve">   b. Check barrier breach condition at each step</w:t>
      </w:r>
      <w:r>
        <w:br/>
      </w:r>
      <w:r>
        <w:rPr>
          <w:rStyle w:val="VerbatimChar"/>
        </w:rPr>
        <w:t xml:space="preserve">   c. If breach: record knockout time and gold price</w:t>
      </w:r>
      <w:r>
        <w:br/>
      </w:r>
      <w:r>
        <w:rPr>
          <w:rStyle w:val="VerbatimChar"/>
        </w:rPr>
        <w:t xml:space="preserve">   d. If no breach: record maturity gold price</w:t>
      </w:r>
      <w:r>
        <w:br/>
      </w:r>
      <w:r>
        <w:rPr>
          <w:rStyle w:val="VerbatimChar"/>
        </w:rPr>
        <w:t xml:space="preserve">4. Calculate payoffs and discount to present value</w:t>
      </w:r>
      <w:r>
        <w:br/>
      </w:r>
      <w:r>
        <w:rPr>
          <w:rStyle w:val="VerbatimChar"/>
        </w:rPr>
        <w:t xml:space="preserve">5. Apply control variate adjustment</w:t>
      </w:r>
      <w:r>
        <w:br/>
      </w:r>
      <w:r>
        <w:rPr>
          <w:rStyle w:val="VerbatimChar"/>
        </w:rPr>
        <w:t xml:space="preserve">6. Compute mean, standard error, confidence interval</w:t>
      </w:r>
      <w:r>
        <w:br/>
      </w:r>
      <w:r>
        <w:rPr>
          <w:rStyle w:val="VerbatimChar"/>
        </w:rPr>
        <w:t xml:space="preserve">7. Return results</w:t>
      </w:r>
    </w:p>
    <w:bookmarkEnd w:id="29"/>
    <w:bookmarkStart w:id="30" w:name="market-data-inputs"/>
    <w:p>
      <w:pPr>
        <w:pStyle w:val="Heading3"/>
      </w:pPr>
      <w:r>
        <w:t xml:space="preserve">4.3 Market Data Inputs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Source/Justification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Gold Spot (S₀)</w:t>
            </w:r>
          </w:p>
        </w:tc>
        <w:tc>
          <w:tcPr/>
          <w:p>
            <w:pPr>
              <w:pStyle w:val="Compact"/>
            </w:pPr>
            <w:r>
              <w:t xml:space="preserve">$2,750/oz</w:t>
            </w:r>
          </w:p>
        </w:tc>
        <w:tc>
          <w:tcPr/>
          <w:p>
            <w:pPr>
              <w:pStyle w:val="Compact"/>
            </w:pPr>
            <w:r>
              <w:t xml:space="preserve">LBMA reference (Jan 2026)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EUR/USD Spot (X₀)</w:t>
            </w:r>
          </w:p>
        </w:tc>
        <w:tc>
          <w:tcPr/>
          <w:p>
            <w:pPr>
              <w:pStyle w:val="Compact"/>
            </w:pPr>
            <w:r>
              <w:t xml:space="preserve">1.08</w:t>
            </w:r>
          </w:p>
        </w:tc>
        <w:tc>
          <w:tcPr/>
          <w:p>
            <w:pPr>
              <w:pStyle w:val="Compact"/>
            </w:pPr>
            <w:r>
              <w:t xml:space="preserve">ECB reference 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EUR Rate (r_EUR)</w:t>
            </w:r>
          </w:p>
        </w:tc>
        <w:tc>
          <w:tcPr/>
          <w:p>
            <w:pPr>
              <w:pStyle w:val="Compact"/>
            </w:pPr>
            <w:r>
              <w:t xml:space="preserve">2.5%</w:t>
            </w:r>
          </w:p>
        </w:tc>
        <w:tc>
          <w:tcPr/>
          <w:p>
            <w:pPr>
              <w:pStyle w:val="Compact"/>
            </w:pPr>
            <w:r>
              <w:t xml:space="preserve">ECB deposit facility 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USD Rate (r_USD)</w:t>
            </w:r>
          </w:p>
        </w:tc>
        <w:tc>
          <w:tcPr/>
          <w:p>
            <w:pPr>
              <w:pStyle w:val="Compact"/>
            </w:pPr>
            <w:r>
              <w:t xml:space="preserve">4.5%</w:t>
            </w:r>
          </w:p>
        </w:tc>
        <w:tc>
          <w:tcPr/>
          <w:p>
            <w:pPr>
              <w:pStyle w:val="Compact"/>
            </w:pPr>
            <w:r>
              <w:t xml:space="preserve">Fed funds effective 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Gold Vol (σ_S)</w:t>
            </w:r>
          </w:p>
        </w:tc>
        <w:tc>
          <w:tcPr/>
          <w:p>
            <w:pPr>
              <w:pStyle w:val="Compact"/>
            </w:pPr>
            <w:r>
              <w:t xml:space="preserve">18%</w:t>
            </w:r>
          </w:p>
        </w:tc>
        <w:tc>
          <w:tcPr/>
          <w:p>
            <w:pPr>
              <w:pStyle w:val="Compact"/>
            </w:pPr>
            <w:r>
              <w:t xml:space="preserve">1Y ATM implied volatility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EUR/USD Vol (σ_X)</w:t>
            </w:r>
          </w:p>
        </w:tc>
        <w:tc>
          <w:tcPr/>
          <w:p>
            <w:pPr>
              <w:pStyle w:val="Compact"/>
            </w:pPr>
            <w:r>
              <w:t xml:space="preserve">8%</w:t>
            </w:r>
          </w:p>
        </w:tc>
        <w:tc>
          <w:tcPr/>
          <w:p>
            <w:pPr>
              <w:pStyle w:val="Compact"/>
            </w:pPr>
            <w:r>
              <w:t xml:space="preserve">1Y ATM implied volatility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Correlation (ρ)</w:t>
            </w:r>
          </w:p>
        </w:tc>
        <w:tc>
          <w:tcPr/>
          <w:p>
            <w:pPr>
              <w:pStyle w:val="Compact"/>
            </w:pPr>
            <w:r>
              <w:t xml:space="preserve">-0.25</w:t>
            </w:r>
          </w:p>
        </w:tc>
        <w:tc>
          <w:tcPr/>
          <w:p>
            <w:pPr>
              <w:pStyle w:val="Compact"/>
            </w:pPr>
            <w:r>
              <w:t xml:space="preserve">Historical 1Y rolling estimate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Gold Yield (q)</w:t>
            </w:r>
          </w:p>
        </w:tc>
        <w:tc>
          <w:tcPr/>
          <w:p>
            <w:pPr>
              <w:pStyle w:val="Compact"/>
            </w:pPr>
            <w:r>
              <w:t xml:space="preserve">0.5%</w:t>
            </w:r>
          </w:p>
        </w:tc>
        <w:tc>
          <w:tcPr/>
          <w:p>
            <w:pPr>
              <w:pStyle w:val="Compact"/>
            </w:pPr>
            <w:r>
              <w:t xml:space="preserve">GOFO/lease rate proxy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35" w:name="pricing-results-and-analysis"/>
    <w:p>
      <w:pPr>
        <w:pStyle w:val="Heading2"/>
      </w:pPr>
      <w:r>
        <w:t xml:space="preserve">5. Pricing Results and Analysis</w:t>
      </w:r>
    </w:p>
    <w:bookmarkStart w:id="32" w:name="base-case-pricing"/>
    <w:p>
      <w:pPr>
        <w:pStyle w:val="Heading3"/>
      </w:pPr>
      <w:r>
        <w:t xml:space="preserve">5.1 Base Case Pricing</w:t>
      </w:r>
    </w:p>
    <w:p>
      <w:pPr>
        <w:pStyle w:val="FirstParagraph"/>
      </w:pPr>
      <w:r>
        <w:rPr>
          <w:b/>
          <w:bCs/>
        </w:rPr>
        <w:t xml:space="preserve">Monte Carlo Simulation Results (100,000 paths, 504 steps):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 Group Present Value</w:t>
            </w:r>
          </w:p>
        </w:tc>
        <w:tc>
          <w:tcPr/>
          <w:p>
            <w:pPr>
              <w:pStyle w:val="Compact"/>
            </w:pPr>
            <w:r>
              <w:t xml:space="preserve">EUR -191,900,647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 Bank Present Value</w:t>
            </w:r>
          </w:p>
        </w:tc>
        <w:tc>
          <w:tcPr/>
          <w:p>
            <w:pPr>
              <w:pStyle w:val="Compact"/>
            </w:pPr>
            <w:r>
              <w:t xml:space="preserve">EUR +191,900,647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Standard Error</w:t>
            </w:r>
          </w:p>
        </w:tc>
        <w:tc>
          <w:tcPr/>
          <w:p>
            <w:pPr>
              <w:pStyle w:val="Compact"/>
            </w:pPr>
            <w:r>
              <w:t xml:space="preserve">EUR 123,877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95% Confidence Interval</w:t>
            </w:r>
          </w:p>
        </w:tc>
        <w:tc>
          <w:tcPr/>
          <w:p>
            <w:pPr>
              <w:pStyle w:val="Compact"/>
            </w:pPr>
            <w:r>
              <w:t xml:space="preserve">[-192,143,447, -191,657,848]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Insight:</w:t>
      </w:r>
      <w:r>
        <w:t xml:space="preserve"> </w:t>
      </w:r>
      <w:r>
        <w:t xml:space="preserve">The large negative value for Z Group reflects that the strike price ($4,600/oz) is significantly above the current gold spot ($2,750/oz). This is effectively a deep out-of-the-money forward from Z Group’s perspective, with the 2-year forward gold price (approximately $3,000/oz based on cost of carry) still well below strike.</w:t>
      </w:r>
    </w:p>
    <w:bookmarkEnd w:id="32"/>
    <w:bookmarkStart w:id="33" w:name="barrier-analysis"/>
    <w:p>
      <w:pPr>
        <w:pStyle w:val="Heading3"/>
      </w:pPr>
      <w:r>
        <w:t xml:space="preserve">5.2 Barrier Analysis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Overall Knockout Rate</w:t>
            </w:r>
          </w:p>
        </w:tc>
        <w:tc>
          <w:tcPr/>
          <w:p>
            <w:pPr>
              <w:pStyle w:val="Compact"/>
            </w:pPr>
            <w:r>
              <w:t xml:space="preserve">92.99%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Average Knockout Time</w:t>
            </w:r>
          </w:p>
        </w:tc>
        <w:tc>
          <w:tcPr/>
          <w:p>
            <w:pPr>
              <w:pStyle w:val="Compact"/>
            </w:pPr>
            <w:r>
              <w:t xml:space="preserve">0.43 years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Lower Barrier (1.05) Breach Rate</w:t>
            </w:r>
          </w:p>
        </w:tc>
        <w:tc>
          <w:tcPr/>
          <w:p>
            <w:pPr>
              <w:pStyle w:val="Compact"/>
            </w:pPr>
            <w:r>
              <w:t xml:space="preserve">86.02%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Upper Barrier (1.25) Breach Rate</w:t>
            </w:r>
          </w:p>
        </w:tc>
        <w:tc>
          <w:tcPr/>
          <w:p>
            <w:pPr>
              <w:pStyle w:val="Compact"/>
            </w:pPr>
            <w:r>
              <w:t xml:space="preserve">6.97%</w:t>
            </w:r>
          </w:p>
        </w:tc>
      </w:tr>
    </w:tbl>
    <w:p>
      <w:pPr>
        <w:pStyle w:val="BodyText"/>
      </w:pPr>
      <w:r>
        <w:rPr>
          <w:b/>
          <w:bCs/>
        </w:rPr>
        <w:t xml:space="preserve">Interpretation:</w:t>
      </w:r>
      <w:r>
        <w:t xml:space="preserve"> </w:t>
      </w:r>
      <w:r>
        <w:t xml:space="preserve">- The knockout rate reflects the probability of EUR/USD exiting the [1.05, 1.25] corridor over the 2-year horizon</w:t>
      </w:r>
      <w:r>
        <w:t xml:space="preserve"> </w:t>
      </w:r>
      <w:r>
        <w:t xml:space="preserve">- Given current EUR/USD volatility of ~8% and the barrier distance from spot, a moderate knockout probability is expected</w:t>
      </w:r>
      <w:r>
        <w:t xml:space="preserve"> </w:t>
      </w:r>
      <w:r>
        <w:t xml:space="preserve">- The asymmetry between upper and lower barrier breaches reflects the negative interest rate differential (EUR rates &lt; USD rates), which creates a downward drift in EUR/USD</w:t>
      </w:r>
    </w:p>
    <w:bookmarkEnd w:id="33"/>
    <w:bookmarkStart w:id="34" w:name="settlement-price-distribution"/>
    <w:p>
      <w:pPr>
        <w:pStyle w:val="Heading3"/>
      </w:pPr>
      <w:r>
        <w:t xml:space="preserve">5.3 Settlement Price Distribution</w:t>
      </w:r>
    </w:p>
    <w:p>
      <w:pPr>
        <w:pStyle w:val="FirstParagraph"/>
      </w:pPr>
      <w:r>
        <w:t xml:space="preserve">The settlement gold price distribution is affected by: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Gold’s natural drift</w:t>
      </w:r>
      <w:r>
        <w:t xml:space="preserve"> </w:t>
      </w:r>
      <w:r>
        <w:t xml:space="preserve">under risk-neutral measure (cost of carry)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Timing of settlement</w:t>
      </w:r>
      <w:r>
        <w:t xml:space="preserve"> </w:t>
      </w:r>
      <w:r>
        <w:t xml:space="preserve">(knockout paths settle earlier on average)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Selection effect</w:t>
      </w:r>
      <w:r>
        <w:t xml:space="preserve"> </w:t>
      </w:r>
      <w:r>
        <w:t xml:space="preserve">from barrier crossings</w:t>
      </w:r>
    </w:p>
    <w:p>
      <w:pPr>
        <w:pStyle w:val="BodyText"/>
      </w:pPr>
      <w:r>
        <w:rPr>
          <w:b/>
          <w:bCs/>
        </w:rPr>
        <w:t xml:space="preserve">[INSERT FIGURE: output/payoff_distribution.png]</w:t>
      </w:r>
    </w:p>
    <w:p>
      <w:pPr>
        <w:pStyle w:val="BodyText"/>
      </w:pPr>
      <w:r>
        <w:rPr>
          <w:i/>
          <w:iCs/>
        </w:rPr>
        <w:t xml:space="preserve">Figure 5.1: Distribution of payoffs for surviving vs. knocked-out paths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risk-management-and-greeks"/>
    <w:p>
      <w:pPr>
        <w:pStyle w:val="Heading2"/>
      </w:pPr>
      <w:r>
        <w:t xml:space="preserve">6. Risk Management and Greeks</w:t>
      </w:r>
    </w:p>
    <w:bookmarkStart w:id="36" w:name="risk-sensitivities"/>
    <w:p>
      <w:pPr>
        <w:pStyle w:val="Heading3"/>
      </w:pPr>
      <w:r>
        <w:t xml:space="preserve">6.1 Risk Sensitivities</w:t>
      </w:r>
    </w:p>
    <w:p>
      <w:pPr>
        <w:pStyle w:val="FirstParagraph"/>
      </w:pPr>
      <w:r>
        <w:t xml:space="preserve">The following Greeks are computed using finite difference methods: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48"/>
        <w:gridCol w:w="1848"/>
        <w:gridCol w:w="42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Greek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Interpretation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Delta (Gold)</w:t>
            </w:r>
          </w:p>
        </w:tc>
        <w:tc>
          <w:tcPr/>
          <w:p>
            <w:pPr>
              <w:pStyle w:val="Compact"/>
            </w:pPr>
            <w:r>
              <w:t xml:space="preserve">EUR 109,545 per $1</w:t>
            </w:r>
          </w:p>
        </w:tc>
        <w:tc>
          <w:tcPr/>
          <w:p>
            <w:pPr>
              <w:pStyle w:val="Compact"/>
            </w:pPr>
            <w:r>
              <w:t xml:space="preserve">First-order gold price sensitivity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Gamma (Gold)</w:t>
            </w:r>
          </w:p>
        </w:tc>
        <w:tc>
          <w:tcPr/>
          <w:p>
            <w:pPr>
              <w:pStyle w:val="Compact"/>
            </w:pPr>
            <w:r>
              <w:t xml:space="preserve">EUR -491</w:t>
            </w:r>
          </w:p>
        </w:tc>
        <w:tc>
          <w:tcPr/>
          <w:p>
            <w:pPr>
              <w:pStyle w:val="Compact"/>
            </w:pPr>
            <w:r>
              <w:t xml:space="preserve">Convexity in gold price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Delta (EUR/USD)</w:t>
            </w:r>
          </w:p>
        </w:tc>
        <w:tc>
          <w:tcPr/>
          <w:p>
            <w:pPr>
              <w:pStyle w:val="Compact"/>
            </w:pPr>
            <w:r>
              <w:t xml:space="preserve">EUR 226,088,367 per 0.01</w:t>
            </w:r>
          </w:p>
        </w:tc>
        <w:tc>
          <w:tcPr/>
          <w:p>
            <w:pPr>
              <w:pStyle w:val="Compact"/>
            </w:pPr>
            <w:r>
              <w:t xml:space="preserve">FX rate sensitivity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Vega (Gold)</w:t>
            </w:r>
          </w:p>
        </w:tc>
        <w:tc>
          <w:tcPr/>
          <w:p>
            <w:pPr>
              <w:pStyle w:val="Compact"/>
            </w:pPr>
            <w:r>
              <w:t xml:space="preserve">EUR -691,011 per 1% vol</w:t>
            </w:r>
          </w:p>
        </w:tc>
        <w:tc>
          <w:tcPr/>
          <w:p>
            <w:pPr>
              <w:pStyle w:val="Compact"/>
            </w:pPr>
            <w:r>
              <w:t xml:space="preserve">Gold volatility sensitivity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Rho (EUR)</w:t>
            </w:r>
          </w:p>
        </w:tc>
        <w:tc>
          <w:tcPr/>
          <w:p>
            <w:pPr>
              <w:pStyle w:val="Compact"/>
            </w:pPr>
            <w:r>
              <w:t xml:space="preserve">EUR -11,692,512 per 1bp</w:t>
            </w:r>
          </w:p>
        </w:tc>
        <w:tc>
          <w:tcPr/>
          <w:p>
            <w:pPr>
              <w:pStyle w:val="Compact"/>
            </w:pPr>
            <w:r>
              <w:t xml:space="preserve">EUR interest rate sensitivity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Correlation Sensitivity</w:t>
            </w:r>
          </w:p>
        </w:tc>
        <w:tc>
          <w:tcPr/>
          <w:p>
            <w:pPr>
              <w:pStyle w:val="Compact"/>
            </w:pPr>
            <w:r>
              <w:t xml:space="preserve">EUR 592,617 per 0.05</w:t>
            </w:r>
          </w:p>
        </w:tc>
        <w:tc>
          <w:tcPr/>
          <w:p>
            <w:pPr>
              <w:pStyle w:val="Compact"/>
            </w:pPr>
            <w:r>
              <w:t xml:space="preserve">Cross-asset correlation exposure</w:t>
            </w:r>
          </w:p>
        </w:tc>
      </w:tr>
    </w:tbl>
    <w:p>
      <w:pPr>
        <w:pStyle w:val="BodyText"/>
      </w:pPr>
      <w:r>
        <w:rPr>
          <w:b/>
          <w:bCs/>
        </w:rPr>
        <w:t xml:space="preserve">[INSERT FIGURE: output/greeks_summary.png]</w:t>
      </w:r>
    </w:p>
    <w:p>
      <w:pPr>
        <w:pStyle w:val="BodyText"/>
      </w:pPr>
      <w:r>
        <w:rPr>
          <w:i/>
          <w:iCs/>
        </w:rPr>
        <w:t xml:space="preserve">Figure 6.1: Visual summary of risk sensitivities (Greeks)</w:t>
      </w:r>
    </w:p>
    <w:p>
      <w:pPr>
        <w:pStyle w:val="BodyText"/>
      </w:pPr>
      <w:r>
        <w:rPr>
          <w:b/>
          <w:bCs/>
        </w:rPr>
        <w:t xml:space="preserve">[INSERT FIGURE: output/payoff_diagram.png]</w:t>
      </w:r>
    </w:p>
    <w:p>
      <w:pPr>
        <w:pStyle w:val="BodyText"/>
      </w:pPr>
      <w:r>
        <w:rPr>
          <w:i/>
          <w:iCs/>
        </w:rPr>
        <w:t xml:space="preserve">Figure 6.2: Theoretical payoff diagram at settlement</w:t>
      </w:r>
    </w:p>
    <w:bookmarkEnd w:id="36"/>
    <w:bookmarkStart w:id="37" w:name="hedging-considerations"/>
    <w:p>
      <w:pPr>
        <w:pStyle w:val="Heading3"/>
      </w:pPr>
      <w:r>
        <w:t xml:space="preserve">6.2 Hedging Considerations</w:t>
      </w:r>
    </w:p>
    <w:p>
      <w:pPr>
        <w:pStyle w:val="FirstParagraph"/>
      </w:pPr>
      <w:r>
        <w:rPr>
          <w:b/>
          <w:bCs/>
        </w:rPr>
        <w:t xml:space="preserve">Delta Hedging:</w:t>
      </w:r>
      <w:r>
        <w:t xml:space="preserve"> </w:t>
      </w:r>
      <w:r>
        <w:t xml:space="preserve">- Primary hedge: Gold futures/forwards</w:t>
      </w:r>
      <w:r>
        <w:t xml:space="preserve"> </w:t>
      </w:r>
      <w:r>
        <w:t xml:space="preserve">- Secondary hedge: EUR/USD forwards for FX delta</w:t>
      </w:r>
    </w:p>
    <w:p>
      <w:pPr>
        <w:pStyle w:val="BodyText"/>
      </w:pPr>
      <w:r>
        <w:rPr>
          <w:b/>
          <w:bCs/>
        </w:rPr>
        <w:t xml:space="preserve">Vega Management:</w:t>
      </w:r>
      <w:r>
        <w:t xml:space="preserve"> </w:t>
      </w:r>
      <w:r>
        <w:t xml:space="preserve">- Gold options (calls/puts) for volatility exposure</w:t>
      </w:r>
      <w:r>
        <w:t xml:space="preserve"> </w:t>
      </w:r>
      <w:r>
        <w:t xml:space="preserve">- Consider FX options for EUR/USD vega given barrier sensitivity</w:t>
      </w:r>
    </w:p>
    <w:p>
      <w:pPr>
        <w:pStyle w:val="BodyText"/>
      </w:pPr>
      <w:r>
        <w:rPr>
          <w:b/>
          <w:bCs/>
        </w:rPr>
        <w:t xml:space="preserve">Correlation Risk:</w:t>
      </w:r>
      <w:r>
        <w:t xml:space="preserve"> </w:t>
      </w:r>
      <w:r>
        <w:t xml:space="preserve">- Difficult to hedge directly</w:t>
      </w:r>
      <w:r>
        <w:t xml:space="preserve"> </w:t>
      </w:r>
      <w:r>
        <w:t xml:space="preserve">- Monitor using cross-asset options (quantos)</w:t>
      </w:r>
      <w:r>
        <w:t xml:space="preserve"> </w:t>
      </w:r>
      <w:r>
        <w:t xml:space="preserve">- Stress test under correlation scenarios</w:t>
      </w:r>
    </w:p>
    <w:bookmarkEnd w:id="37"/>
    <w:bookmarkStart w:id="38" w:name="barrier-risk-pin-risk"/>
    <w:p>
      <w:pPr>
        <w:pStyle w:val="Heading3"/>
      </w:pPr>
      <w:r>
        <w:t xml:space="preserve">6.3 Barrier Risk (Pin Risk)</w:t>
      </w:r>
    </w:p>
    <w:p>
      <w:pPr>
        <w:pStyle w:val="FirstParagraph"/>
      </w:pPr>
      <w:r>
        <w:t xml:space="preserve">When EUR/USD approaches barriers:</w:t>
      </w:r>
      <w:r>
        <w:t xml:space="preserve"> </w:t>
      </w:r>
      <w:r>
        <w:t xml:space="preserve">- Gamma becomes large and discontinuous</w:t>
      </w:r>
      <w:r>
        <w:t xml:space="preserve"> </w:t>
      </w:r>
      <w:r>
        <w:t xml:space="preserve">- Delta flips sign abruptly at barrier</w:t>
      </w:r>
      <w:r>
        <w:t xml:space="preserve"> </w:t>
      </w:r>
      <w:r>
        <w:t xml:space="preserve">- Hedging costs increase significantly</w:t>
      </w:r>
    </w:p>
    <w:p>
      <w:pPr>
        <w:pStyle w:val="BodyText"/>
      </w:pPr>
      <w:r>
        <w:rPr>
          <w:b/>
          <w:bCs/>
        </w:rPr>
        <w:t xml:space="preserve">Mitigation:</w:t>
      </w:r>
      <w:r>
        <w:t xml:space="preserve"> </w:t>
      </w:r>
      <w:r>
        <w:t xml:space="preserve">- Build barrier proximity warnings into risk monitoring</w:t>
      </w:r>
      <w:r>
        <w:t xml:space="preserve"> </w:t>
      </w:r>
      <w:r>
        <w:t xml:space="preserve">- Consider dynamic widening of hedge ratios near barriers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4" w:name="sensitivity-analysis"/>
    <w:p>
      <w:pPr>
        <w:pStyle w:val="Heading2"/>
      </w:pPr>
      <w:r>
        <w:t xml:space="preserve">7. Sensitivity Analysis</w:t>
      </w:r>
    </w:p>
    <w:bookmarkStart w:id="40" w:name="gold-spot-sensitivity"/>
    <w:p>
      <w:pPr>
        <w:pStyle w:val="Heading3"/>
      </w:pPr>
      <w:r>
        <w:t xml:space="preserve">7.1 Gold Spot Sensitivity</w:t>
      </w:r>
    </w:p>
    <w:p>
      <w:pPr>
        <w:pStyle w:val="FirstParagraph"/>
      </w:pPr>
      <w:r>
        <w:rPr>
          <w:b/>
          <w:bCs/>
        </w:rPr>
        <w:t xml:space="preserve">[INSERT FIGURE: output/sensitivity_analysis.png]</w:t>
      </w:r>
    </w:p>
    <w:p>
      <w:pPr>
        <w:pStyle w:val="BodyText"/>
      </w:pPr>
      <w:r>
        <w:rPr>
          <w:i/>
          <w:iCs/>
        </w:rPr>
        <w:t xml:space="preserve">Figure 7.1: Sensitivity analysis across all key parameters</w:t>
      </w:r>
    </w:p>
    <w:p>
      <w:pPr>
        <w:pStyle w:val="BodyText"/>
      </w:pPr>
      <w:r>
        <w:t xml:space="preserve">The product value is approximately linear in gold spot price due to the forward-like payoff structure. Key observations:</w:t>
      </w:r>
      <w:r>
        <w:t xml:space="preserve"> </w:t>
      </w:r>
      <w:r>
        <w:t xml:space="preserve">- Positive delta: Z Group benefits from higher gold prices</w:t>
      </w:r>
      <w:r>
        <w:t xml:space="preserve"> </w:t>
      </w:r>
      <w:r>
        <w:t xml:space="preserve">- Delta magnitude scaled by notional and strike relationship</w:t>
      </w:r>
    </w:p>
    <w:bookmarkEnd w:id="40"/>
    <w:bookmarkStart w:id="41" w:name="eurusd-spot-sensitivity"/>
    <w:p>
      <w:pPr>
        <w:pStyle w:val="Heading3"/>
      </w:pPr>
      <w:r>
        <w:t xml:space="preserve">7.2 EUR/USD Spot Sensitivity</w:t>
      </w:r>
    </w:p>
    <w:p>
      <w:pPr>
        <w:pStyle w:val="FirstParagraph"/>
      </w:pPr>
      <w:r>
        <w:t xml:space="preserve">Starting EUR/USD spot significantly affects: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Knockout probability:</w:t>
      </w:r>
      <w:r>
        <w:t xml:space="preserve"> </w:t>
      </w:r>
      <w:r>
        <w:t xml:space="preserve">Closer to barriers = higher KO rate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Contract duration:</w:t>
      </w:r>
      <w:r>
        <w:t xml:space="preserve"> </w:t>
      </w:r>
      <w:r>
        <w:t xml:space="preserve">Expected time to settlement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Present value:</w:t>
      </w:r>
      <w:r>
        <w:t xml:space="preserve"> </w:t>
      </w:r>
      <w:r>
        <w:t xml:space="preserve">Through both timing and probability effects</w:t>
      </w:r>
    </w:p>
    <w:bookmarkEnd w:id="41"/>
    <w:bookmarkStart w:id="42" w:name="volatility-sensitivity"/>
    <w:p>
      <w:pPr>
        <w:pStyle w:val="Heading3"/>
      </w:pPr>
      <w:r>
        <w:t xml:space="preserve">7.3 Volatility Sensitivity</w:t>
      </w:r>
    </w:p>
    <w:p>
      <w:pPr>
        <w:pStyle w:val="FirstParagraph"/>
      </w:pPr>
      <w:r>
        <w:rPr>
          <w:b/>
          <w:bCs/>
        </w:rPr>
        <w:t xml:space="preserve">Gold Volatility:</w:t>
      </w:r>
      <w:r>
        <w:t xml:space="preserve"> </w:t>
      </w:r>
      <w:r>
        <w:t xml:space="preserve">- Higher σ_S increases payoff variance</w:t>
      </w:r>
      <w:r>
        <w:t xml:space="preserve"> </w:t>
      </w:r>
      <w:r>
        <w:t xml:space="preserve">- Limited effect on expected payoff (forward-like)</w:t>
      </w:r>
      <w:r>
        <w:t xml:space="preserve"> </w:t>
      </w:r>
      <w:r>
        <w:t xml:space="preserve">- Affects tail risk and Greek stability</w:t>
      </w:r>
    </w:p>
    <w:p>
      <w:pPr>
        <w:pStyle w:val="BodyText"/>
      </w:pPr>
      <w:r>
        <w:rPr>
          <w:b/>
          <w:bCs/>
        </w:rPr>
        <w:t xml:space="preserve">EUR/USD Volatility:</w:t>
      </w:r>
      <w:r>
        <w:t xml:space="preserve"> </w:t>
      </w:r>
      <w:r>
        <w:t xml:space="preserve">- Critical driver of knockout probability</w:t>
      </w:r>
      <w:r>
        <w:t xml:space="preserve"> </w:t>
      </w:r>
      <w:r>
        <w:t xml:space="preserve">- Higher σ_X → more knockouts → shorter expected duration</w:t>
      </w:r>
      <w:r>
        <w:t xml:space="preserve"> </w:t>
      </w:r>
      <w:r>
        <w:t xml:space="preserve">- Reduces product value if gold forward is in-the-money</w:t>
      </w:r>
    </w:p>
    <w:bookmarkEnd w:id="42"/>
    <w:bookmarkStart w:id="43" w:name="correlation-sensitivity"/>
    <w:p>
      <w:pPr>
        <w:pStyle w:val="Heading3"/>
      </w:pPr>
      <w:r>
        <w:t xml:space="preserve">7.4 Correlation Sensitivity</w:t>
      </w:r>
    </w:p>
    <w:p>
      <w:pPr>
        <w:pStyle w:val="FirstParagraph"/>
      </w:pPr>
      <w:r>
        <w:t xml:space="preserve">The gold-EURUSD correlation impacts: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 settlement prices and times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Hedging effectiveness</w:t>
      </w:r>
      <w:r>
        <w:t xml:space="preserve"> </w:t>
      </w:r>
      <w:r>
        <w:t xml:space="preserve">when using both gold and FX instruments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Tail risk</w:t>
      </w:r>
      <w:r>
        <w:t xml:space="preserve"> </w:t>
      </w:r>
      <w:r>
        <w:t xml:space="preserve">in extreme market scenarios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8" w:name="advanced-model-analysis"/>
    <w:p>
      <w:pPr>
        <w:pStyle w:val="Heading2"/>
      </w:pPr>
      <w:r>
        <w:t xml:space="preserve">8. Advanced Model Analysis</w:t>
      </w:r>
    </w:p>
    <w:bookmarkStart w:id="45" w:name="model-comparison"/>
    <w:p>
      <w:pPr>
        <w:pStyle w:val="Heading3"/>
      </w:pPr>
      <w:r>
        <w:t xml:space="preserve">8.1 Model Comparison</w:t>
      </w:r>
    </w:p>
    <w:p>
      <w:pPr>
        <w:pStyle w:val="FirstParagraph"/>
      </w:pPr>
      <w:r>
        <w:t xml:space="preserve">To ensure robustness of our pricing, we compare results across three model specifications: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Z Group PV (EUR)</w:t>
            </w:r>
          </w:p>
        </w:tc>
        <w:tc>
          <w:tcPr/>
          <w:p>
            <w:pPr>
              <w:pStyle w:val="Compact"/>
            </w:pPr>
            <w:r>
              <w:t xml:space="preserve">Knockout Rate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Base GBM</w:t>
            </w:r>
          </w:p>
        </w:tc>
        <w:tc>
          <w:tcPr/>
          <w:p>
            <w:pPr>
              <w:pStyle w:val="Compact"/>
            </w:pPr>
            <w:r>
              <w:t xml:space="preserve">-192,086,302</w:t>
            </w:r>
          </w:p>
        </w:tc>
        <w:tc>
          <w:tcPr/>
          <w:p>
            <w:pPr>
              <w:pStyle w:val="Compact"/>
            </w:pPr>
            <w:r>
              <w:t xml:space="preserve">92.9%</w:t>
            </w:r>
          </w:p>
        </w:tc>
        <w:tc>
          <w:tcPr/>
          <w:p>
            <w:pPr>
              <w:pStyle w:val="Compact"/>
            </w:pPr>
            <w:r>
              <w:t xml:space="preserve">Standard correlated log-normal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Heston SV</w:t>
            </w:r>
          </w:p>
        </w:tc>
        <w:tc>
          <w:tcPr/>
          <w:p>
            <w:pPr>
              <w:pStyle w:val="Compact"/>
            </w:pPr>
            <w:r>
              <w:t xml:space="preserve">-191,757,977</w:t>
            </w:r>
          </w:p>
        </w:tc>
        <w:tc>
          <w:tcPr/>
          <w:p>
            <w:pPr>
              <w:pStyle w:val="Compact"/>
            </w:pPr>
            <w:r>
              <w:t xml:space="preserve">93.0%</w:t>
            </w:r>
          </w:p>
        </w:tc>
        <w:tc>
          <w:tcPr/>
          <w:p>
            <w:pPr>
              <w:pStyle w:val="Compact"/>
            </w:pPr>
            <w:r>
              <w:t xml:space="preserve">Stochastic volatility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Merton Jump</w:t>
            </w:r>
          </w:p>
        </w:tc>
        <w:tc>
          <w:tcPr/>
          <w:p>
            <w:pPr>
              <w:pStyle w:val="Compact"/>
            </w:pPr>
            <w:r>
              <w:t xml:space="preserve">-191,732,389</w:t>
            </w:r>
          </w:p>
        </w:tc>
        <w:tc>
          <w:tcPr/>
          <w:p>
            <w:pPr>
              <w:pStyle w:val="Compact"/>
            </w:pPr>
            <w:r>
              <w:t xml:space="preserve">93.0%</w:t>
            </w:r>
          </w:p>
        </w:tc>
        <w:tc>
          <w:tcPr/>
          <w:p>
            <w:pPr>
              <w:pStyle w:val="Compact"/>
            </w:pPr>
            <w:r>
              <w:t xml:space="preserve">Jump-diffusion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[INSERT FIGURE: output/model_comparison.png]</w:t>
      </w:r>
    </w:p>
    <w:p>
      <w:pPr>
        <w:pStyle w:val="BodyText"/>
      </w:pPr>
      <w:r>
        <w:rPr>
          <w:i/>
          <w:iCs/>
        </w:rPr>
        <w:t xml:space="preserve">Figure 8.1: Model comparison across different specifications</w:t>
      </w:r>
    </w:p>
    <w:p>
      <w:pPr>
        <w:pStyle w:val="BodyText"/>
      </w:pPr>
      <w:r>
        <w:rPr>
          <w:b/>
          <w:bCs/>
        </w:rPr>
        <w:t xml:space="preserve">Key Findings:</w:t>
      </w:r>
      <w:r>
        <w:t xml:space="preserve"> </w:t>
      </w:r>
      <w:r>
        <w:t xml:space="preserve">- All three models produce</w:t>
      </w:r>
      <w:r>
        <w:t xml:space="preserve"> </w:t>
      </w:r>
      <w:r>
        <w:rPr>
          <w:b/>
          <w:bCs/>
        </w:rPr>
        <w:t xml:space="preserve">consistent valuations</w:t>
      </w:r>
      <w:r>
        <w:t xml:space="preserve"> </w:t>
      </w:r>
      <w:r>
        <w:t xml:space="preserve">(within 0.2% of each other)</w:t>
      </w:r>
      <w:r>
        <w:t xml:space="preserve"> </w:t>
      </w:r>
      <w:r>
        <w:t xml:space="preserve">- Knockout rates are nearly identical across models</w:t>
      </w:r>
      <w:r>
        <w:t xml:space="preserve"> </w:t>
      </w:r>
      <w:r>
        <w:t xml:space="preserve">- The base GBM model is adequate for this product given the dominant effect of the knock-out barriers</w:t>
      </w:r>
    </w:p>
    <w:bookmarkEnd w:id="45"/>
    <w:bookmarkStart w:id="46" w:name="scenario-analysis"/>
    <w:p>
      <w:pPr>
        <w:pStyle w:val="Heading3"/>
      </w:pPr>
      <w:r>
        <w:t xml:space="preserve">8.2 Scenario Analysis</w:t>
      </w:r>
    </w:p>
    <w:p>
      <w:pPr>
        <w:pStyle w:val="FirstParagraph"/>
      </w:pPr>
      <w:r>
        <w:rPr>
          <w:b/>
          <w:bCs/>
        </w:rPr>
        <w:t xml:space="preserve">Strike Price Sensitivity:</w:t>
      </w:r>
    </w:p>
    <w:p>
      <w:pPr>
        <w:pStyle w:val="BodyText"/>
      </w:pPr>
      <w:r>
        <w:rPr>
          <w:b/>
          <w:bCs/>
        </w:rPr>
        <w:t xml:space="preserve">[INSERT FIGURE: output/scenario_strike.png]</w:t>
      </w:r>
    </w:p>
    <w:p>
      <w:pPr>
        <w:pStyle w:val="BodyText"/>
      </w:pPr>
      <w:r>
        <w:rPr>
          <w:i/>
          <w:iCs/>
        </w:rPr>
        <w:t xml:space="preserve">Figure 8.2: Impact of strike price on valuation and knockout probability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Strike ($/oz)</w:t>
            </w:r>
          </w:p>
        </w:tc>
        <w:tc>
          <w:tcPr/>
          <w:p>
            <w:pPr>
              <w:pStyle w:val="Compact"/>
            </w:pPr>
            <w:r>
              <w:t xml:space="preserve">Z Group PV (EUR M)</w:t>
            </w:r>
          </w:p>
        </w:tc>
        <w:tc>
          <w:tcPr/>
          <w:p>
            <w:pPr>
              <w:pStyle w:val="Compact"/>
            </w:pPr>
            <w:r>
              <w:t xml:space="preserve">Interpretation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3,000</w:t>
            </w:r>
          </w:p>
        </w:tc>
        <w:tc>
          <w:tcPr/>
          <w:p>
            <w:pPr>
              <w:pStyle w:val="Compact"/>
            </w:pPr>
            <w:r>
              <w:t xml:space="preserve">~-10</w:t>
            </w:r>
          </w:p>
        </w:tc>
        <w:tc>
          <w:tcPr/>
          <w:p>
            <w:pPr>
              <w:pStyle w:val="Compact"/>
            </w:pPr>
            <w:r>
              <w:t xml:space="preserve">Near ATM forward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3,500</w:t>
            </w:r>
          </w:p>
        </w:tc>
        <w:tc>
          <w:tcPr/>
          <w:p>
            <w:pPr>
              <w:pStyle w:val="Compact"/>
            </w:pPr>
            <w:r>
              <w:t xml:space="preserve">~-60</w:t>
            </w:r>
          </w:p>
        </w:tc>
        <w:tc>
          <w:tcPr/>
          <w:p>
            <w:pPr>
              <w:pStyle w:val="Compact"/>
            </w:pPr>
            <w:r>
              <w:t xml:space="preserve">Moderately OTM</w:t>
            </w:r>
          </w:p>
        </w:tc>
      </w:tr>
      <w:tr>
        <w:tc>
          <w:tcPr/>
          <w:p>
            <w:pPr>
              <w:pStyle w:val="Compact"/>
            </w:pPr>
            <w:r>
              <w:t xml:space="preserve">4,000</w:t>
            </w:r>
          </w:p>
        </w:tc>
        <w:tc>
          <w:tcPr/>
          <w:p>
            <w:pPr>
              <w:pStyle w:val="Compact"/>
            </w:pPr>
            <w:r>
              <w:t xml:space="preserve">~-110</w:t>
            </w:r>
          </w:p>
        </w:tc>
        <w:tc>
          <w:tcPr/>
          <w:p>
            <w:pPr>
              <w:pStyle w:val="Compact"/>
            </w:pPr>
            <w:r>
              <w:t xml:space="preserve">Significantly OTM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4,600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-192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Current spec (deep OTM)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5,000</w:t>
            </w:r>
          </w:p>
        </w:tc>
        <w:tc>
          <w:tcPr/>
          <w:p>
            <w:pPr>
              <w:pStyle w:val="Compact"/>
            </w:pPr>
            <w:r>
              <w:t xml:space="preserve">~-230</w:t>
            </w:r>
          </w:p>
        </w:tc>
        <w:tc>
          <w:tcPr/>
          <w:p>
            <w:pPr>
              <w:pStyle w:val="Compact"/>
            </w:pPr>
            <w:r>
              <w:t xml:space="preserve">Very deep OTM</w:t>
            </w:r>
          </w:p>
        </w:tc>
      </w:tr>
    </w:tbl>
    <w:p>
      <w:pPr>
        <w:pStyle w:val="BodyText"/>
      </w:pPr>
      <w:r>
        <w:rPr>
          <w:b/>
          <w:bCs/>
        </w:rPr>
        <w:t xml:space="preserve">Barrier Width Analysis:</w:t>
      </w:r>
    </w:p>
    <w:p>
      <w:pPr>
        <w:pStyle w:val="BodyText"/>
      </w:pPr>
      <w:r>
        <w:rPr>
          <w:b/>
          <w:bCs/>
        </w:rPr>
        <w:t xml:space="preserve">[INSERT FIGURE: output/scenario_barrier.png]</w:t>
      </w:r>
    </w:p>
    <w:p>
      <w:pPr>
        <w:pStyle w:val="BodyText"/>
      </w:pPr>
      <w:r>
        <w:rPr>
          <w:i/>
          <w:iCs/>
        </w:rPr>
        <w:t xml:space="preserve">Figure 8.3: Impact of barrier configuration on valuation</w:t>
      </w:r>
    </w:p>
    <w:p>
      <w:pPr>
        <w:pStyle w:val="BodyText"/>
      </w:pPr>
      <w:r>
        <w:t xml:space="preserve">Wider barriers significantly reduce knockout probability, extending expected contract duration.</w:t>
      </w:r>
    </w:p>
    <w:bookmarkEnd w:id="46"/>
    <w:bookmarkStart w:id="47" w:name="model-limitations"/>
    <w:p>
      <w:pPr>
        <w:pStyle w:val="Heading3"/>
      </w:pPr>
      <w:r>
        <w:t xml:space="preserve">8.3 Model Limitations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Discrete Monitoring Bias:</w:t>
      </w:r>
      <w:r>
        <w:t xml:space="preserve"> </w:t>
      </w:r>
      <w:r>
        <w:t xml:space="preserve">Continuous barrier approximated with 504 steps; true continuous monitoring would show slightly higher knockout probability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Constant Parameters:</w:t>
      </w:r>
      <w:r>
        <w:t xml:space="preserve"> </w:t>
      </w:r>
      <w:r>
        <w:t xml:space="preserve">Model assumes constant volatility, correlation, and interest rates over 2-year horizon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No Volatility Smile:</w:t>
      </w:r>
      <w:r>
        <w:t xml:space="preserve"> </w:t>
      </w:r>
      <w:r>
        <w:t xml:space="preserve">ATM volatility used; actual pricing should incorporate smile/skew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Correlation Stability:</w:t>
      </w:r>
      <w:r>
        <w:t xml:space="preserve"> </w:t>
      </w:r>
      <w:r>
        <w:t xml:space="preserve">Historical correlation may shift under stress conditions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Jump Calibration:</w:t>
      </w:r>
      <w:r>
        <w:t xml:space="preserve"> </w:t>
      </w:r>
      <w:r>
        <w:t xml:space="preserve">Jump parameters based on historical estimates; tail events may be understated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3" w:name="conclusions-and-recommendations"/>
    <w:p>
      <w:pPr>
        <w:pStyle w:val="Heading2"/>
      </w:pPr>
      <w:r>
        <w:t xml:space="preserve">9. Conclusions and Recommendations</w:t>
      </w:r>
    </w:p>
    <w:bookmarkStart w:id="49" w:name="product-viability"/>
    <w:p>
      <w:pPr>
        <w:pStyle w:val="Heading3"/>
      </w:pPr>
      <w:r>
        <w:t xml:space="preserve">9.1 Product Viability</w:t>
      </w:r>
    </w:p>
    <w:p>
      <w:pPr>
        <w:pStyle w:val="FirstParagraph"/>
      </w:pPr>
      <w:r>
        <w:t xml:space="preserve">The structured gold forward with double knock-out barriers presents a</w:t>
      </w:r>
      <w:r>
        <w:t xml:space="preserve"> </w:t>
      </w:r>
      <w:r>
        <w:rPr>
          <w:b/>
          <w:bCs/>
        </w:rPr>
        <w:t xml:space="preserve">viable hedging solution</w:t>
      </w:r>
      <w:r>
        <w:t xml:space="preserve"> </w:t>
      </w:r>
      <w:r>
        <w:t xml:space="preserve">for Z Group: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Effective Hedging:</w:t>
      </w:r>
      <w:r>
        <w:t xml:space="preserve"> </w:t>
      </w:r>
      <w:r>
        <w:t xml:space="preserve">Provides gold price protection within typical FX ranges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Cost Efficiency:</w:t>
      </w:r>
      <w:r>
        <w:t xml:space="preserve"> </w:t>
      </w:r>
      <w:r>
        <w:t xml:space="preserve">Barrier features reduce premium vs. vanilla forward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Natural Limits:</w:t>
      </w:r>
      <w:r>
        <w:t xml:space="preserve"> </w:t>
      </w:r>
      <w:r>
        <w:t xml:space="preserve">Automatic termination at extreme FX levels aligns with Z Group’s need to reassess strategy under stressed conditions</w:t>
      </w:r>
    </w:p>
    <w:bookmarkEnd w:id="49"/>
    <w:bookmarkStart w:id="50" w:name="pricing-confidence"/>
    <w:p>
      <w:pPr>
        <w:pStyle w:val="Heading3"/>
      </w:pPr>
      <w:r>
        <w:t xml:space="preserve">9.2 Pricing Confidence</w:t>
      </w:r>
    </w:p>
    <w:p>
      <w:pPr>
        <w:pStyle w:val="FirstParagraph"/>
      </w:pPr>
      <w:r>
        <w:t xml:space="preserve">The Monte Carlo pricing model provides: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Accurate valuations</w:t>
      </w:r>
      <w:r>
        <w:t xml:space="preserve"> </w:t>
      </w:r>
      <w:r>
        <w:t xml:space="preserve">with quantified standard errors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Convergence</w:t>
      </w:r>
      <w:r>
        <w:t xml:space="preserve"> </w:t>
      </w:r>
      <w:r>
        <w:t xml:space="preserve">demonstrated across simulation sizes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Consistency</w:t>
      </w:r>
      <w:r>
        <w:t xml:space="preserve"> </w:t>
      </w:r>
      <w:r>
        <w:t xml:space="preserve">with theoretical expectations for component risks</w:t>
      </w:r>
    </w:p>
    <w:bookmarkEnd w:id="50"/>
    <w:bookmarkStart w:id="51" w:name="risk-management-framework"/>
    <w:p>
      <w:pPr>
        <w:pStyle w:val="Heading3"/>
      </w:pPr>
      <w:r>
        <w:t xml:space="preserve">9.3 Risk Management Framework</w:t>
      </w:r>
    </w:p>
    <w:p>
      <w:pPr>
        <w:pStyle w:val="FirstParagraph"/>
      </w:pPr>
      <w:r>
        <w:t xml:space="preserve">Recommended approach for A Bank: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Daily mark-to-market</w:t>
      </w:r>
      <w:r>
        <w:t xml:space="preserve"> </w:t>
      </w:r>
      <w:r>
        <w:t xml:space="preserve">using calibrated model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Greek monitoring</w:t>
      </w:r>
      <w:r>
        <w:t xml:space="preserve"> </w:t>
      </w:r>
      <w:r>
        <w:t xml:space="preserve">with barrier proximity alerts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Stress testing</w:t>
      </w:r>
      <w:r>
        <w:t xml:space="preserve"> </w:t>
      </w:r>
      <w:r>
        <w:t xml:space="preserve">across correlation and volatility scenarios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Reserve allocation</w:t>
      </w:r>
      <w:r>
        <w:t xml:space="preserve"> </w:t>
      </w:r>
      <w:r>
        <w:t xml:space="preserve">for model risk and barrier discontinuities</w:t>
      </w:r>
    </w:p>
    <w:bookmarkEnd w:id="51"/>
    <w:bookmarkStart w:id="52" w:name="implementation-notes"/>
    <w:p>
      <w:pPr>
        <w:pStyle w:val="Heading3"/>
      </w:pPr>
      <w:r>
        <w:t xml:space="preserve">9.4 Implementation Notes</w:t>
      </w:r>
    </w:p>
    <w:p>
      <w:pPr>
        <w:pStyle w:val="FirstParagraph"/>
      </w:pPr>
      <w:r>
        <w:t xml:space="preserve">For production deployment:</w:t>
      </w:r>
      <w:r>
        <w:t xml:space="preserve"> </w:t>
      </w:r>
      <w:r>
        <w:t xml:space="preserve">- Consider</w:t>
      </w:r>
      <w:r>
        <w:t xml:space="preserve"> </w:t>
      </w:r>
      <w:r>
        <w:rPr>
          <w:b/>
          <w:bCs/>
        </w:rPr>
        <w:t xml:space="preserve">barrier shift</w:t>
      </w:r>
      <w:r>
        <w:t xml:space="preserve"> </w:t>
      </w:r>
      <w:r>
        <w:t xml:space="preserve">for continuous monitoring approximation</w:t>
      </w:r>
      <w:r>
        <w:t xml:space="preserve"> </w:t>
      </w:r>
      <w:r>
        <w:t xml:space="preserve">- Implement</w:t>
      </w:r>
      <w:r>
        <w:t xml:space="preserve"> </w:t>
      </w:r>
      <w:r>
        <w:rPr>
          <w:b/>
          <w:bCs/>
        </w:rPr>
        <w:t xml:space="preserve">early warning system</w:t>
      </w:r>
      <w:r>
        <w:t xml:space="preserve"> </w:t>
      </w:r>
      <w:r>
        <w:t xml:space="preserve">when EUR/USD approaches barriers</w:t>
      </w:r>
      <w:r>
        <w:t xml:space="preserve"> </w:t>
      </w:r>
      <w:r>
        <w:t xml:space="preserve">- Establish</w:t>
      </w:r>
      <w:r>
        <w:t xml:space="preserve"> </w:t>
      </w:r>
      <w:r>
        <w:rPr>
          <w:b/>
          <w:bCs/>
        </w:rPr>
        <w:t xml:space="preserve">hedge rebalancing triggers</w:t>
      </w:r>
      <w:r>
        <w:t xml:space="preserve"> </w:t>
      </w:r>
      <w:r>
        <w:t xml:space="preserve">based on delta thresholds</w:t>
      </w:r>
      <w:r>
        <w:t xml:space="preserve"> </w:t>
      </w:r>
      <w:r>
        <w:t xml:space="preserve">- Maintain</w:t>
      </w:r>
      <w:r>
        <w:t xml:space="preserve"> </w:t>
      </w:r>
      <w:r>
        <w:rPr>
          <w:b/>
          <w:bCs/>
        </w:rPr>
        <w:t xml:space="preserve">scenario analysis</w:t>
      </w:r>
      <w:r>
        <w:t xml:space="preserve"> </w:t>
      </w:r>
      <w:r>
        <w:t xml:space="preserve">for regulatory reporting (FRTB, etc.)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appendix-a-nomenclature"/>
    <w:p>
      <w:pPr>
        <w:pStyle w:val="Heading2"/>
      </w:pPr>
      <w:r>
        <w:t xml:space="preserve">Appendix A: Nomenclature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S</m:t>
                  </m:r>
                </m:e>
                <m:sub>
                  <m:r>
                    <m:t>t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Gold spot price (USD/oz) at time t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t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EUR/USD exchange rate at time t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K</m:t>
              </m:r>
            </m:oMath>
          </w:p>
        </w:tc>
        <w:tc>
          <w:tcPr/>
          <w:p>
            <w:pPr>
              <w:pStyle w:val="Compact"/>
            </w:pPr>
            <w:r>
              <w:t xml:space="preserve">Strike price ($4,600/oz)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N</m:t>
              </m:r>
            </m:oMath>
          </w:p>
        </w:tc>
        <w:tc>
          <w:tcPr/>
          <w:p>
            <w:pPr>
              <w:pStyle w:val="Compact"/>
            </w:pPr>
            <w:r>
              <w:t xml:space="preserve">Notional principal (EUR 500M)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T</m:t>
              </m:r>
            </m:oMath>
          </w:p>
        </w:tc>
        <w:tc>
          <w:tcPr/>
          <w:p>
            <w:pPr>
              <w:pStyle w:val="Compact"/>
            </w:pPr>
            <w:r>
              <w:t xml:space="preserve">Maturity (2 years)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,</m:t>
              </m:r>
              <m:r>
                <m:t>U</m:t>
              </m:r>
            </m:oMath>
          </w:p>
        </w:tc>
        <w:tc>
          <w:tcPr/>
          <w:p>
            <w:pPr>
              <w:pStyle w:val="Compact"/>
            </w:pPr>
            <w:r>
              <w:t xml:space="preserve">Lower (1.05) and upper (1.25) barriers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E</m:t>
                  </m:r>
                  <m:r>
                    <m:t>U</m:t>
                  </m:r>
                  <m:r>
                    <m:t>R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U</m:t>
                  </m:r>
                  <m:r>
                    <m:t>S</m:t>
                  </m:r>
                  <m:r>
                    <m:t>D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Risk-free rates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σ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Volatilities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ρ</m:t>
              </m:r>
            </m:oMath>
          </w:p>
        </w:tc>
        <w:tc>
          <w:tcPr/>
          <w:p>
            <w:pPr>
              <w:pStyle w:val="Compact"/>
            </w:pPr>
            <w:r>
              <w:t xml:space="preserve">Correlation coefficient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q</m:t>
              </m:r>
            </m:oMath>
          </w:p>
        </w:tc>
        <w:tc>
          <w:tcPr/>
          <w:p>
            <w:pPr>
              <w:pStyle w:val="Compact"/>
            </w:pPr>
            <w:r>
              <w:t xml:space="preserve">Gold convenience yield</w:t>
            </w:r>
          </w:p>
        </w:tc>
      </w:tr>
    </w:tbl>
    <w:bookmarkEnd w:id="54"/>
    <w:bookmarkStart w:id="55" w:name="appendix-b-references"/>
    <w:p>
      <w:pPr>
        <w:pStyle w:val="Heading2"/>
      </w:pPr>
      <w:r>
        <w:t xml:space="preserve">Appendix B: References</w:t>
      </w:r>
    </w:p>
    <w:p>
      <w:pPr>
        <w:pStyle w:val="Compact"/>
        <w:numPr>
          <w:ilvl w:val="0"/>
          <w:numId w:val="1009"/>
        </w:numPr>
      </w:pPr>
      <w:r>
        <w:t xml:space="preserve">Hull, J.C. (2024).</w:t>
      </w:r>
      <w:r>
        <w:t xml:space="preserve"> </w:t>
      </w:r>
      <w:r>
        <w:rPr>
          <w:i/>
          <w:iCs/>
        </w:rPr>
        <w:t xml:space="preserve">Options, Futures, and Other Derivatives</w:t>
      </w:r>
      <w:r>
        <w:t xml:space="preserve">, 11th Edition</w:t>
      </w:r>
    </w:p>
    <w:p>
      <w:pPr>
        <w:pStyle w:val="Compact"/>
        <w:numPr>
          <w:ilvl w:val="0"/>
          <w:numId w:val="1009"/>
        </w:numPr>
      </w:pPr>
      <w:r>
        <w:t xml:space="preserve">Glasserman, P. (2003).</w:t>
      </w:r>
      <w:r>
        <w:t xml:space="preserve"> </w:t>
      </w:r>
      <w:r>
        <w:rPr>
          <w:i/>
          <w:iCs/>
        </w:rPr>
        <w:t xml:space="preserve">Monte Carlo Methods in Financial Engineering</w:t>
      </w:r>
    </w:p>
    <w:p>
      <w:pPr>
        <w:pStyle w:val="Compact"/>
        <w:numPr>
          <w:ilvl w:val="0"/>
          <w:numId w:val="1009"/>
        </w:numPr>
      </w:pPr>
      <w:r>
        <w:t xml:space="preserve">Shreve, S.E. (2004).</w:t>
      </w:r>
      <w:r>
        <w:t xml:space="preserve"> </w:t>
      </w:r>
      <w:r>
        <w:rPr>
          <w:i/>
          <w:iCs/>
        </w:rPr>
        <w:t xml:space="preserve">Stochastic Calculus for Finance II</w:t>
      </w:r>
    </w:p>
    <w:p>
      <w:pPr>
        <w:pStyle w:val="Compact"/>
        <w:numPr>
          <w:ilvl w:val="0"/>
          <w:numId w:val="1009"/>
        </w:numPr>
      </w:pPr>
      <w:r>
        <w:t xml:space="preserve">ECB Statistical Data Warehouse - EUR/USD Reference Rates</w:t>
      </w:r>
    </w:p>
    <w:p>
      <w:pPr>
        <w:pStyle w:val="Compact"/>
        <w:numPr>
          <w:ilvl w:val="0"/>
          <w:numId w:val="1009"/>
        </w:numPr>
      </w:pPr>
      <w:r>
        <w:t xml:space="preserve">LBMA - Gold Price Benchmarks</w:t>
      </w:r>
    </w:p>
    <w:p>
      <w:pPr>
        <w:pStyle w:val="Compact"/>
        <w:numPr>
          <w:ilvl w:val="0"/>
          <w:numId w:val="1009"/>
        </w:numPr>
      </w:pPr>
      <w:r>
        <w:t xml:space="preserve">CME Group - Gold Futures Implied Volatilities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 prepared for GAAIF Challenge Submission</w:t>
      </w:r>
      <w:r>
        <w:t xml:space="preserve"> </w:t>
      </w:r>
      <w:r>
        <w:rPr>
          <w:i/>
          <w:iCs/>
        </w:rPr>
        <w:t xml:space="preserve">All rights reserved - January 2026</w:t>
      </w:r>
    </w:p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2026-01-20T13:14:14Z</dcterms:created>
  <dcterms:modified xsi:type="dcterms:W3CDTF">2026-01-20T13:14:14Z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