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DE1B" w14:textId="77777777" w:rsidR="004659A4" w:rsidRDefault="004659A4">
      <w:pPr>
        <w:pStyle w:val="Title"/>
      </w:pPr>
    </w:p>
    <w:p w14:paraId="67B51D43" w14:textId="77777777" w:rsidR="004659A4" w:rsidRDefault="004659A4">
      <w:pPr>
        <w:pStyle w:val="Title"/>
      </w:pPr>
    </w:p>
    <w:p w14:paraId="328A6F36" w14:textId="773C8487" w:rsidR="00914C8F" w:rsidRDefault="00000000">
      <w:pPr>
        <w:pStyle w:val="Title"/>
      </w:pPr>
      <w:r>
        <w:t>Structured Gold Forward with Knock-Out Barriers</w:t>
      </w:r>
    </w:p>
    <w:p w14:paraId="1FF8C274" w14:textId="77777777" w:rsidR="004659A4" w:rsidRDefault="004659A4">
      <w:pPr>
        <w:pStyle w:val="Subtitle"/>
      </w:pPr>
    </w:p>
    <w:p w14:paraId="03D92ECE" w14:textId="2A3074AC" w:rsidR="00914C8F" w:rsidRPr="004659A4" w:rsidRDefault="00000000">
      <w:pPr>
        <w:pStyle w:val="Subtitle"/>
      </w:pPr>
      <w:r w:rsidRPr="004659A4">
        <w:t>Product Development Memorandum</w:t>
      </w:r>
    </w:p>
    <w:p w14:paraId="078A02CA" w14:textId="5499B8B4" w:rsidR="004659A4" w:rsidRPr="004659A4" w:rsidRDefault="00000000" w:rsidP="004659A4">
      <w:pPr>
        <w:pStyle w:val="Author"/>
        <w:rPr>
          <w:rFonts w:hint="eastAsia"/>
          <w:sz w:val="28"/>
          <w:szCs w:val="28"/>
        </w:rPr>
      </w:pPr>
      <w:r w:rsidRPr="004659A4">
        <w:rPr>
          <w:sz w:val="28"/>
          <w:szCs w:val="28"/>
        </w:rPr>
        <w:t>Derivatives Structuring Desk</w:t>
      </w:r>
    </w:p>
    <w:p w14:paraId="21C32356" w14:textId="4D7E09B6" w:rsidR="004659A4" w:rsidRPr="004659A4" w:rsidRDefault="00000000">
      <w:pPr>
        <w:pStyle w:val="Date"/>
        <w:rPr>
          <w:sz w:val="28"/>
          <w:szCs w:val="28"/>
        </w:rPr>
      </w:pPr>
      <w:r w:rsidRPr="004659A4">
        <w:rPr>
          <w:sz w:val="28"/>
          <w:szCs w:val="28"/>
        </w:rPr>
        <w:t>January 2026</w:t>
      </w:r>
    </w:p>
    <w:p w14:paraId="0CC6CBC8" w14:textId="77777777" w:rsidR="004659A4" w:rsidRDefault="004659A4" w:rsidP="004659A4">
      <w:pPr>
        <w:pStyle w:val="BodyText"/>
      </w:pPr>
    </w:p>
    <w:p w14:paraId="1067E504" w14:textId="77777777" w:rsidR="004659A4" w:rsidRDefault="004659A4" w:rsidP="004659A4">
      <w:pPr>
        <w:pStyle w:val="BodyText"/>
      </w:pPr>
    </w:p>
    <w:p w14:paraId="5CB9998C" w14:textId="77777777" w:rsidR="004659A4" w:rsidRDefault="004659A4" w:rsidP="004659A4">
      <w:pPr>
        <w:pStyle w:val="BodyText"/>
      </w:pPr>
    </w:p>
    <w:p w14:paraId="6D24A1C6" w14:textId="77777777" w:rsidR="004659A4" w:rsidRDefault="004659A4" w:rsidP="004659A4">
      <w:pPr>
        <w:pStyle w:val="BodyText"/>
      </w:pPr>
    </w:p>
    <w:p w14:paraId="2794F350" w14:textId="77777777" w:rsidR="004659A4" w:rsidRDefault="004659A4" w:rsidP="004659A4">
      <w:pPr>
        <w:pStyle w:val="BodyText"/>
        <w:rPr>
          <w:rFonts w:hint="eastAsia"/>
        </w:rPr>
      </w:pPr>
    </w:p>
    <w:p w14:paraId="50DE80AC" w14:textId="77777777" w:rsidR="004659A4" w:rsidRDefault="004659A4" w:rsidP="004659A4">
      <w:pPr>
        <w:pStyle w:val="BodyText"/>
        <w:rPr>
          <w:rFonts w:hint="eastAsia"/>
        </w:rPr>
      </w:pPr>
    </w:p>
    <w:p w14:paraId="7B211573" w14:textId="62270B07" w:rsidR="004659A4" w:rsidRPr="004659A4" w:rsidRDefault="004659A4" w:rsidP="004659A4">
      <w:pPr>
        <w:pStyle w:val="BodyText"/>
        <w:jc w:val="center"/>
        <w:rPr>
          <w:rFonts w:hint="eastAsia"/>
          <w:sz w:val="28"/>
          <w:szCs w:val="28"/>
        </w:rPr>
      </w:pPr>
      <w:r w:rsidRPr="004659A4">
        <w:rPr>
          <w:rFonts w:hint="eastAsia"/>
          <w:sz w:val="28"/>
          <w:szCs w:val="28"/>
        </w:rPr>
        <w:t>Proposal Prepared By</w:t>
      </w:r>
    </w:p>
    <w:p w14:paraId="340EB617" w14:textId="7933C394" w:rsidR="004659A4" w:rsidRPr="004659A4" w:rsidRDefault="004659A4" w:rsidP="004659A4">
      <w:pPr>
        <w:pStyle w:val="BodyText"/>
        <w:jc w:val="center"/>
        <w:rPr>
          <w:sz w:val="28"/>
          <w:szCs w:val="28"/>
        </w:rPr>
      </w:pPr>
      <w:r w:rsidRPr="004659A4">
        <w:rPr>
          <w:rFonts w:hint="eastAsia"/>
          <w:sz w:val="28"/>
          <w:szCs w:val="28"/>
        </w:rPr>
        <w:t>Ricky Sun</w:t>
      </w:r>
    </w:p>
    <w:p w14:paraId="0B654550" w14:textId="5C2AA566" w:rsidR="004659A4" w:rsidRPr="004659A4" w:rsidRDefault="004659A4" w:rsidP="004659A4">
      <w:pPr>
        <w:pStyle w:val="BodyText"/>
        <w:jc w:val="center"/>
        <w:rPr>
          <w:rFonts w:hint="eastAsia"/>
          <w:sz w:val="28"/>
          <w:szCs w:val="28"/>
        </w:rPr>
      </w:pPr>
      <w:r w:rsidRPr="004659A4">
        <w:rPr>
          <w:rFonts w:hint="eastAsia"/>
          <w:sz w:val="28"/>
          <w:szCs w:val="28"/>
        </w:rPr>
        <w:t>ULTIPA</w:t>
      </w:r>
    </w:p>
    <w:p w14:paraId="77477716" w14:textId="77777777" w:rsidR="004659A4" w:rsidRDefault="004659A4">
      <w:pPr>
        <w:rPr>
          <w:rFonts w:asciiTheme="majorHAnsi" w:eastAsiaTheme="majorEastAsia" w:hAnsiTheme="majorHAnsi" w:cstheme="majorBidi"/>
        </w:rPr>
      </w:pPr>
      <w:r>
        <w:br w:type="page"/>
      </w:r>
    </w:p>
    <w:p w14:paraId="1326AB15" w14:textId="77777777" w:rsidR="00914C8F" w:rsidRDefault="00914C8F">
      <w:pPr>
        <w:pStyle w:val="Date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793595650"/>
        <w:docPartObj>
          <w:docPartGallery w:val="Table of Contents"/>
          <w:docPartUnique/>
        </w:docPartObj>
      </w:sdtPr>
      <w:sdtContent>
        <w:p w14:paraId="562F6F49" w14:textId="77777777" w:rsidR="00914C8F" w:rsidRDefault="00000000">
          <w:pPr>
            <w:pStyle w:val="TOCHeading"/>
          </w:pPr>
          <w:r>
            <w:t>Table of Contents</w:t>
          </w:r>
        </w:p>
        <w:p w14:paraId="30AD704B" w14:textId="16A96040" w:rsidR="005A3702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9838989" w:history="1">
            <w:r w:rsidR="005A3702" w:rsidRPr="000669B6">
              <w:rPr>
                <w:rStyle w:val="Hyperlink"/>
                <w:noProof/>
              </w:rPr>
              <w:t>1</w:t>
            </w:r>
            <w:r w:rsidR="005A3702">
              <w:rPr>
                <w:noProof/>
                <w:kern w:val="2"/>
                <w14:ligatures w14:val="standardContextual"/>
              </w:rPr>
              <w:tab/>
            </w:r>
            <w:r w:rsidR="005A3702" w:rsidRPr="000669B6">
              <w:rPr>
                <w:rStyle w:val="Hyperlink"/>
                <w:noProof/>
              </w:rPr>
              <w:t>Executive Summary</w:t>
            </w:r>
            <w:r w:rsidR="005A3702">
              <w:rPr>
                <w:noProof/>
                <w:webHidden/>
              </w:rPr>
              <w:tab/>
            </w:r>
            <w:r w:rsidR="005A3702">
              <w:rPr>
                <w:noProof/>
                <w:webHidden/>
              </w:rPr>
              <w:fldChar w:fldCharType="begin"/>
            </w:r>
            <w:r w:rsidR="005A3702">
              <w:rPr>
                <w:noProof/>
                <w:webHidden/>
              </w:rPr>
              <w:instrText xml:space="preserve"> PAGEREF _Toc219838989 \h </w:instrText>
            </w:r>
            <w:r w:rsidR="005A3702">
              <w:rPr>
                <w:noProof/>
                <w:webHidden/>
              </w:rPr>
            </w:r>
            <w:r w:rsidR="005A3702">
              <w:rPr>
                <w:noProof/>
                <w:webHidden/>
              </w:rPr>
              <w:fldChar w:fldCharType="separate"/>
            </w:r>
            <w:r w:rsidR="005A3702">
              <w:rPr>
                <w:noProof/>
                <w:webHidden/>
              </w:rPr>
              <w:t>3</w:t>
            </w:r>
            <w:r w:rsidR="005A3702">
              <w:rPr>
                <w:noProof/>
                <w:webHidden/>
              </w:rPr>
              <w:fldChar w:fldCharType="end"/>
            </w:r>
          </w:hyperlink>
        </w:p>
        <w:p w14:paraId="08B9C3CB" w14:textId="38A9ACC7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0" w:history="1">
            <w:r w:rsidRPr="000669B6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Transaction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8EE5A" w14:textId="621B0B5F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1" w:history="1">
            <w:r w:rsidRPr="000669B6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Settlement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CE7F5" w14:textId="2CCF2C86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2" w:history="1">
            <w:r w:rsidRPr="000669B6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Knock-Out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B861C" w14:textId="4D68DAD1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3" w:history="1">
            <w:r w:rsidRPr="000669B6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Mathematical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AD6C" w14:textId="62639144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4" w:history="1">
            <w:r w:rsidRPr="000669B6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Stochastic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EC7D" w14:textId="50B19019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5" w:history="1">
            <w:r w:rsidRPr="000669B6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Parameter Estimates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65299" w14:textId="4867C414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6" w:history="1">
            <w:r w:rsidRPr="000669B6">
              <w:rPr>
                <w:rStyle w:val="Hyperlink"/>
                <w:noProof/>
              </w:rPr>
              <w:t>3.3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Risk-Neutral 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9399" w14:textId="7E2C7456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7" w:history="1">
            <w:r w:rsidRPr="000669B6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Numerical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A0A28" w14:textId="37A04ABC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8" w:history="1">
            <w:r w:rsidRPr="000669B6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Simulation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47580" w14:textId="46EF5431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8999" w:history="1">
            <w:r w:rsidRPr="000669B6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Variance Reduction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8896" w14:textId="0029C0B1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0" w:history="1">
            <w:r w:rsidRPr="000669B6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Pricing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0E192" w14:textId="00876087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1" w:history="1">
            <w:r w:rsidRPr="000669B6">
              <w:rPr>
                <w:rStyle w:val="Hyperlink"/>
                <w:noProof/>
              </w:rPr>
              <w:t>5.1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Base Case 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A7A47" w14:textId="55EEB1FB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2" w:history="1">
            <w:r w:rsidRPr="000669B6">
              <w:rPr>
                <w:rStyle w:val="Hyperlink"/>
                <w:noProof/>
              </w:rPr>
              <w:t>5.2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Barrier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C046" w14:textId="39E3AEB3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3" w:history="1">
            <w:r w:rsidRPr="000669B6">
              <w:rPr>
                <w:rStyle w:val="Hyperlink"/>
                <w:noProof/>
              </w:rPr>
              <w:t>5.3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Convergence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0609" w14:textId="359EDB42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4" w:history="1">
            <w:r w:rsidRPr="000669B6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Critical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6617C" w14:textId="16E6169F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5" w:history="1">
            <w:r w:rsidRPr="000669B6">
              <w:rPr>
                <w:rStyle w:val="Hyperlink"/>
                <w:noProof/>
              </w:rPr>
              <w:t>6.1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Strike Price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6A033" w14:textId="26EB3F97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6" w:history="1">
            <w:r w:rsidRPr="000669B6">
              <w:rPr>
                <w:rStyle w:val="Hyperlink"/>
                <w:noProof/>
              </w:rPr>
              <w:t>6.2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Barrier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894F" w14:textId="78360925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7" w:history="1">
            <w:r w:rsidRPr="000669B6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Risk Sensitivities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C9229" w14:textId="2CAABD50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8" w:history="1">
            <w:r w:rsidRPr="000669B6">
              <w:rPr>
                <w:rStyle w:val="Hyperlink"/>
                <w:noProof/>
              </w:rPr>
              <w:t>7.1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Greeks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0F7B" w14:textId="46232BFE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09" w:history="1">
            <w:r w:rsidRPr="000669B6">
              <w:rPr>
                <w:rStyle w:val="Hyperlink"/>
                <w:noProof/>
              </w:rPr>
              <w:t>7.2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Hedging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9A54" w14:textId="2B962D74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0" w:history="1">
            <w:r w:rsidRPr="000669B6">
              <w:rPr>
                <w:rStyle w:val="Hyperlink"/>
                <w:noProof/>
              </w:rPr>
              <w:t>8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Model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36EA4" w14:textId="1CCA5617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1" w:history="1">
            <w:r w:rsidRPr="000669B6">
              <w:rPr>
                <w:rStyle w:val="Hyperlink"/>
                <w:noProof/>
              </w:rPr>
              <w:t>8.1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Alternative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87998" w14:textId="7FC3676E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2" w:history="1">
            <w:r w:rsidRPr="000669B6">
              <w:rPr>
                <w:rStyle w:val="Hyperlink"/>
                <w:noProof/>
              </w:rPr>
              <w:t>8.2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Analytical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AB44" w14:textId="413DACB7" w:rsidR="005A3702" w:rsidRDefault="005A3702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3" w:history="1">
            <w:r w:rsidRPr="000669B6">
              <w:rPr>
                <w:rStyle w:val="Hyperlink"/>
                <w:noProof/>
              </w:rPr>
              <w:t>9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Conclusions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0A85" w14:textId="084FF7EC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4" w:history="1">
            <w:r w:rsidRPr="000669B6">
              <w:rPr>
                <w:rStyle w:val="Hyperlink"/>
                <w:noProof/>
              </w:rPr>
              <w:t>9.1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Summary of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080B5" w14:textId="77630337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5" w:history="1">
            <w:r w:rsidRPr="000669B6">
              <w:rPr>
                <w:rStyle w:val="Hyperlink"/>
                <w:noProof/>
              </w:rPr>
              <w:t>9.2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8B47" w14:textId="2D806BFA" w:rsidR="005A3702" w:rsidRDefault="005A3702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6" w:history="1">
            <w:r w:rsidRPr="000669B6">
              <w:rPr>
                <w:rStyle w:val="Hyperlink"/>
                <w:noProof/>
              </w:rPr>
              <w:t>9.3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0669B6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9EF5E" w14:textId="4E5D4364" w:rsidR="005A3702" w:rsidRDefault="005A3702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7" w:history="1">
            <w:r w:rsidRPr="000669B6">
              <w:rPr>
                <w:rStyle w:val="Hyperlink"/>
                <w:noProof/>
              </w:rPr>
              <w:t>Appendix A: Nomenclature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DB69" w14:textId="747F3DF9" w:rsidR="005A3702" w:rsidRDefault="005A3702">
          <w:pPr>
            <w:pStyle w:val="TOC1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19839018" w:history="1">
            <w:r w:rsidRPr="000669B6">
              <w:rPr>
                <w:rStyle w:val="Hyperlink"/>
                <w:noProof/>
              </w:rPr>
              <w:t>Appendix B: Figure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3E995" w14:textId="4C5E4B7F" w:rsidR="00914C8F" w:rsidRDefault="00000000">
          <w:r>
            <w:lastRenderedPageBreak/>
            <w:fldChar w:fldCharType="end"/>
          </w:r>
        </w:p>
      </w:sdtContent>
    </w:sdt>
    <w:p w14:paraId="3624DE82" w14:textId="77777777" w:rsidR="00914C8F" w:rsidRDefault="00000000">
      <w:pPr>
        <w:pStyle w:val="FirstParagraph"/>
      </w:pPr>
      <w:r>
        <w:rPr>
          <w:b/>
          <w:bCs/>
        </w:rPr>
        <w:t>CONFIDENTIAL</w:t>
      </w:r>
    </w:p>
    <w:p w14:paraId="3F78F1DA" w14:textId="77777777" w:rsidR="00914C8F" w:rsidRDefault="00000000">
      <w:pPr>
        <w:pStyle w:val="BodyText"/>
      </w:pPr>
      <w:r>
        <w:rPr>
          <w:b/>
          <w:bCs/>
        </w:rPr>
        <w:t>TO:</w:t>
      </w:r>
      <w:r>
        <w:t xml:space="preserve"> Product Committee, Alphabank S.A.</w:t>
      </w:r>
    </w:p>
    <w:p w14:paraId="1DE2FCC2" w14:textId="77777777" w:rsidR="00914C8F" w:rsidRDefault="00000000">
      <w:pPr>
        <w:pStyle w:val="BodyText"/>
      </w:pPr>
      <w:r>
        <w:rPr>
          <w:b/>
          <w:bCs/>
        </w:rPr>
        <w:t>FROM:</w:t>
      </w:r>
      <w:r>
        <w:t xml:space="preserve"> Derivatives Structuring Desk</w:t>
      </w:r>
    </w:p>
    <w:p w14:paraId="280759AC" w14:textId="77777777" w:rsidR="00914C8F" w:rsidRDefault="00000000">
      <w:pPr>
        <w:pStyle w:val="BodyText"/>
      </w:pPr>
      <w:r>
        <w:rPr>
          <w:b/>
          <w:bCs/>
        </w:rPr>
        <w:t>DATE:</w:t>
      </w:r>
      <w:r>
        <w:t xml:space="preserve"> January 2026</w:t>
      </w:r>
    </w:p>
    <w:p w14:paraId="7275A430" w14:textId="574A1136" w:rsidR="00914C8F" w:rsidRDefault="00000000" w:rsidP="00D0531A">
      <w:pPr>
        <w:pStyle w:val="BodyText"/>
        <w:rPr>
          <w:rFonts w:hint="eastAsia"/>
        </w:rPr>
      </w:pPr>
      <w:r>
        <w:rPr>
          <w:b/>
          <w:bCs/>
        </w:rPr>
        <w:t>RE:</w:t>
      </w:r>
      <w:r>
        <w:t xml:space="preserve"> Pricing and Risk Analysis — Zeus Gold Group AG Hedging Facility</w:t>
      </w:r>
    </w:p>
    <w:p w14:paraId="2628BA41" w14:textId="77777777" w:rsidR="00914C8F" w:rsidRDefault="00000000">
      <w:pPr>
        <w:pStyle w:val="Heading1"/>
      </w:pPr>
      <w:bookmarkStart w:id="0" w:name="executive-summary"/>
      <w:bookmarkStart w:id="1" w:name="_Toc219838989"/>
      <w:r>
        <w:rPr>
          <w:rStyle w:val="SectionNumber"/>
        </w:rPr>
        <w:t>1</w:t>
      </w:r>
      <w:r>
        <w:tab/>
        <w:t>Executive Summary</w:t>
      </w:r>
      <w:bookmarkEnd w:id="1"/>
    </w:p>
    <w:p w14:paraId="037E09FD" w14:textId="77777777" w:rsidR="00914C8F" w:rsidRDefault="00000000">
      <w:pPr>
        <w:pStyle w:val="FirstParagraph"/>
      </w:pPr>
      <w:r>
        <w:t>This memorandum presents our analysis of a proposed structured hedging facility for Zeus Gold Group AG (“Z Group”). The product combines exposure to LBMA gold prices with automatic termination features linked to EUR/USD exchange rate movements.</w:t>
      </w:r>
    </w:p>
    <w:p w14:paraId="1551CF22" w14:textId="77777777" w:rsidR="00914C8F" w:rsidRDefault="00000000">
      <w:pPr>
        <w:pStyle w:val="BodyText"/>
      </w:pPr>
      <w:r>
        <w:t>We have developed a comprehensive pricing framework validated through multiple methodologies. Our analysis identifies several structural considerations that warrant discussion before proceeding to term sheet finalization.</w:t>
      </w:r>
    </w:p>
    <w:p w14:paraId="7E8402DF" w14:textId="77777777" w:rsidR="00914C8F" w:rsidRDefault="00000000">
      <w:pPr>
        <w:pStyle w:val="BodyText"/>
      </w:pPr>
      <w:r>
        <w:rPr>
          <w:b/>
          <w:bCs/>
        </w:rPr>
        <w:t>Transaction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2"/>
        <w:gridCol w:w="4157"/>
      </w:tblGrid>
      <w:tr w:rsidR="00914C8F" w14:paraId="18ABC0B1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6F15B5" w14:textId="77777777" w:rsidR="00914C8F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5A07B6D" w14:textId="77777777" w:rsidR="00914C8F" w:rsidRDefault="00000000">
            <w:pPr>
              <w:pStyle w:val="Compact"/>
            </w:pPr>
            <w:r>
              <w:t>Specification</w:t>
            </w:r>
          </w:p>
        </w:tc>
      </w:tr>
      <w:tr w:rsidR="00914C8F" w14:paraId="1047B34B" w14:textId="77777777">
        <w:tc>
          <w:tcPr>
            <w:tcW w:w="0" w:type="auto"/>
          </w:tcPr>
          <w:p w14:paraId="100C13B4" w14:textId="77777777" w:rsidR="00914C8F" w:rsidRDefault="00000000">
            <w:pPr>
              <w:pStyle w:val="Compact"/>
            </w:pPr>
            <w:r>
              <w:t>Notional Principal</w:t>
            </w:r>
          </w:p>
        </w:tc>
        <w:tc>
          <w:tcPr>
            <w:tcW w:w="0" w:type="auto"/>
          </w:tcPr>
          <w:p w14:paraId="3A5CAC38" w14:textId="77777777" w:rsidR="00914C8F" w:rsidRDefault="00000000">
            <w:pPr>
              <w:pStyle w:val="Compact"/>
            </w:pPr>
            <w:r>
              <w:t>EUR 500,000,000</w:t>
            </w:r>
          </w:p>
        </w:tc>
      </w:tr>
      <w:tr w:rsidR="00914C8F" w14:paraId="2A58C3DE" w14:textId="77777777">
        <w:tc>
          <w:tcPr>
            <w:tcW w:w="0" w:type="auto"/>
          </w:tcPr>
          <w:p w14:paraId="29B5FAA5" w14:textId="77777777" w:rsidR="00914C8F" w:rsidRDefault="00000000">
            <w:pPr>
              <w:pStyle w:val="Compact"/>
            </w:pPr>
            <w:r>
              <w:t>Reference Asset</w:t>
            </w:r>
          </w:p>
        </w:tc>
        <w:tc>
          <w:tcPr>
            <w:tcW w:w="0" w:type="auto"/>
          </w:tcPr>
          <w:p w14:paraId="455D60D6" w14:textId="77777777" w:rsidR="00914C8F" w:rsidRDefault="00000000">
            <w:pPr>
              <w:pStyle w:val="Compact"/>
            </w:pPr>
            <w:r>
              <w:t>LBMA Gold PM Fixing (USD/oz)</w:t>
            </w:r>
          </w:p>
        </w:tc>
      </w:tr>
      <w:tr w:rsidR="00914C8F" w14:paraId="7D10589F" w14:textId="77777777">
        <w:tc>
          <w:tcPr>
            <w:tcW w:w="0" w:type="auto"/>
          </w:tcPr>
          <w:p w14:paraId="2A5ED21F" w14:textId="77777777" w:rsidR="00914C8F" w:rsidRDefault="00000000">
            <w:pPr>
              <w:pStyle w:val="Compact"/>
            </w:pPr>
            <w:r>
              <w:t>Strike Price</w:t>
            </w:r>
          </w:p>
        </w:tc>
        <w:tc>
          <w:tcPr>
            <w:tcW w:w="0" w:type="auto"/>
          </w:tcPr>
          <w:p w14:paraId="12AFCB20" w14:textId="77777777" w:rsidR="00914C8F" w:rsidRDefault="00000000">
            <w:pPr>
              <w:pStyle w:val="Compact"/>
            </w:pPr>
            <w:r>
              <w:t>USD 4,600 per troy ounce</w:t>
            </w:r>
          </w:p>
        </w:tc>
      </w:tr>
      <w:tr w:rsidR="00914C8F" w14:paraId="6EF7A9F6" w14:textId="77777777">
        <w:tc>
          <w:tcPr>
            <w:tcW w:w="0" w:type="auto"/>
          </w:tcPr>
          <w:p w14:paraId="7724CF55" w14:textId="77777777" w:rsidR="00914C8F" w:rsidRDefault="00000000">
            <w:pPr>
              <w:pStyle w:val="Compact"/>
            </w:pPr>
            <w:r>
              <w:t>Tenor</w:t>
            </w:r>
          </w:p>
        </w:tc>
        <w:tc>
          <w:tcPr>
            <w:tcW w:w="0" w:type="auto"/>
          </w:tcPr>
          <w:p w14:paraId="5A32EE95" w14:textId="77777777" w:rsidR="00914C8F" w:rsidRDefault="00000000">
            <w:pPr>
              <w:pStyle w:val="Compact"/>
            </w:pPr>
            <w:r>
              <w:t>2 years (March 2026 — February 2028)</w:t>
            </w:r>
          </w:p>
        </w:tc>
      </w:tr>
      <w:tr w:rsidR="00914C8F" w14:paraId="465E3FAA" w14:textId="77777777">
        <w:tc>
          <w:tcPr>
            <w:tcW w:w="0" w:type="auto"/>
          </w:tcPr>
          <w:p w14:paraId="2E40286C" w14:textId="77777777" w:rsidR="00914C8F" w:rsidRDefault="00000000">
            <w:pPr>
              <w:pStyle w:val="Compact"/>
            </w:pPr>
            <w:r>
              <w:t>Knock-Out Barriers</w:t>
            </w:r>
          </w:p>
        </w:tc>
        <w:tc>
          <w:tcPr>
            <w:tcW w:w="0" w:type="auto"/>
          </w:tcPr>
          <w:p w14:paraId="6E5B79D8" w14:textId="77777777" w:rsidR="00914C8F" w:rsidRDefault="00000000">
            <w:pPr>
              <w:pStyle w:val="Compact"/>
            </w:pPr>
            <w:r>
              <w:t>EUR/USD &lt; 1.05 or EUR/USD &gt; 1.25</w:t>
            </w:r>
          </w:p>
        </w:tc>
      </w:tr>
    </w:tbl>
    <w:p w14:paraId="28BD41B0" w14:textId="77777777" w:rsidR="00914C8F" w:rsidRDefault="00000000">
      <w:pPr>
        <w:pStyle w:val="BodyText"/>
      </w:pPr>
      <w:r>
        <w:rPr>
          <w:b/>
          <w:bCs/>
        </w:rPr>
        <w:t>Key Findings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5"/>
        <w:gridCol w:w="1978"/>
      </w:tblGrid>
      <w:tr w:rsidR="00914C8F" w14:paraId="08C032AD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DCA1C" w14:textId="77777777" w:rsidR="00914C8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D8F97D1" w14:textId="77777777" w:rsidR="00914C8F" w:rsidRDefault="00000000">
            <w:pPr>
              <w:pStyle w:val="Compact"/>
            </w:pPr>
            <w:r>
              <w:t>Result</w:t>
            </w:r>
          </w:p>
        </w:tc>
      </w:tr>
      <w:tr w:rsidR="00914C8F" w14:paraId="45B87E24" w14:textId="77777777">
        <w:tc>
          <w:tcPr>
            <w:tcW w:w="0" w:type="auto"/>
          </w:tcPr>
          <w:p w14:paraId="5064D32A" w14:textId="77777777" w:rsidR="00914C8F" w:rsidRDefault="00000000">
            <w:pPr>
              <w:pStyle w:val="Compact"/>
            </w:pPr>
            <w:r>
              <w:t>Z Group Present Value</w:t>
            </w:r>
          </w:p>
        </w:tc>
        <w:tc>
          <w:tcPr>
            <w:tcW w:w="0" w:type="auto"/>
          </w:tcPr>
          <w:p w14:paraId="4705D490" w14:textId="77777777" w:rsidR="00914C8F" w:rsidRDefault="00000000">
            <w:pPr>
              <w:pStyle w:val="Compact"/>
            </w:pPr>
            <w:r>
              <w:t>EUR −192 million</w:t>
            </w:r>
          </w:p>
        </w:tc>
      </w:tr>
      <w:tr w:rsidR="00914C8F" w14:paraId="45CD0ECE" w14:textId="77777777">
        <w:tc>
          <w:tcPr>
            <w:tcW w:w="0" w:type="auto"/>
          </w:tcPr>
          <w:p w14:paraId="51CBFF26" w14:textId="77777777" w:rsidR="00914C8F" w:rsidRDefault="00000000">
            <w:pPr>
              <w:pStyle w:val="Compact"/>
            </w:pPr>
            <w:r>
              <w:t>Alphabank Present Value</w:t>
            </w:r>
          </w:p>
        </w:tc>
        <w:tc>
          <w:tcPr>
            <w:tcW w:w="0" w:type="auto"/>
          </w:tcPr>
          <w:p w14:paraId="1A082701" w14:textId="77777777" w:rsidR="00914C8F" w:rsidRDefault="00000000">
            <w:pPr>
              <w:pStyle w:val="Compact"/>
            </w:pPr>
            <w:r>
              <w:t>EUR +192 million</w:t>
            </w:r>
          </w:p>
        </w:tc>
      </w:tr>
      <w:tr w:rsidR="00914C8F" w14:paraId="26D0F6C5" w14:textId="77777777">
        <w:tc>
          <w:tcPr>
            <w:tcW w:w="0" w:type="auto"/>
          </w:tcPr>
          <w:p w14:paraId="66BDCC93" w14:textId="77777777" w:rsidR="00914C8F" w:rsidRDefault="00000000">
            <w:pPr>
              <w:pStyle w:val="Compact"/>
            </w:pPr>
            <w:r>
              <w:t>Knock-Out Probability</w:t>
            </w:r>
          </w:p>
        </w:tc>
        <w:tc>
          <w:tcPr>
            <w:tcW w:w="0" w:type="auto"/>
          </w:tcPr>
          <w:p w14:paraId="1A5E1825" w14:textId="77777777" w:rsidR="00914C8F" w:rsidRDefault="00000000">
            <w:pPr>
              <w:pStyle w:val="Compact"/>
            </w:pPr>
            <w:r>
              <w:t>93%</w:t>
            </w:r>
          </w:p>
        </w:tc>
      </w:tr>
      <w:tr w:rsidR="00914C8F" w14:paraId="5A4205C8" w14:textId="77777777">
        <w:tc>
          <w:tcPr>
            <w:tcW w:w="0" w:type="auto"/>
          </w:tcPr>
          <w:p w14:paraId="3997A74D" w14:textId="77777777" w:rsidR="00914C8F" w:rsidRDefault="00000000">
            <w:pPr>
              <w:pStyle w:val="Compact"/>
            </w:pPr>
            <w:r>
              <w:t>Expected Contract Duration</w:t>
            </w:r>
          </w:p>
        </w:tc>
        <w:tc>
          <w:tcPr>
            <w:tcW w:w="0" w:type="auto"/>
          </w:tcPr>
          <w:p w14:paraId="09FA169C" w14:textId="77777777" w:rsidR="00914C8F" w:rsidRDefault="00000000">
            <w:pPr>
              <w:pStyle w:val="Compact"/>
            </w:pPr>
            <w:r>
              <w:t>5 months</w:t>
            </w:r>
          </w:p>
        </w:tc>
      </w:tr>
    </w:tbl>
    <w:p w14:paraId="31E4C2D1" w14:textId="77777777" w:rsidR="00914C8F" w:rsidRDefault="00000000">
      <w:pPr>
        <w:pStyle w:val="BodyText"/>
      </w:pPr>
      <w:r>
        <w:t>The negative present value for Z Group reflects the strike price being set 54% above the two-year gold forward. The high knock-out probability stems from the lower barrier’s proximity to current spot (2.8% distance) combined with negative EUR/USD drift from interest rate differentials.</w:t>
      </w:r>
    </w:p>
    <w:p w14:paraId="30129AC0" w14:textId="5076476D" w:rsidR="00914C8F" w:rsidRDefault="00000000">
      <w:pPr>
        <w:pStyle w:val="Heading1"/>
      </w:pPr>
      <w:bookmarkStart w:id="2" w:name="transaction-overview"/>
      <w:bookmarkStart w:id="3" w:name="_Toc219838990"/>
      <w:bookmarkEnd w:id="0"/>
      <w:r>
        <w:rPr>
          <w:rStyle w:val="SectionNumber"/>
        </w:rPr>
        <w:lastRenderedPageBreak/>
        <w:t>2</w:t>
      </w:r>
      <w:r>
        <w:tab/>
        <w:t>Transaction Overview</w:t>
      </w:r>
      <w:bookmarkEnd w:id="3"/>
    </w:p>
    <w:p w14:paraId="54C794E3" w14:textId="77777777" w:rsidR="00914C8F" w:rsidRDefault="00000000">
      <w:pPr>
        <w:pStyle w:val="FirstParagraph"/>
      </w:pPr>
      <w:r>
        <w:t>Zeus Gold Group, a Frankfurt-headquartered jewelry manufacturer, seeks to hedge its USD-denominated gold procurement costs while managing EUR/USD translation risk. The proposed facility would run for two years commencing March 2026.</w:t>
      </w:r>
    </w:p>
    <w:p w14:paraId="07A799D7" w14:textId="149E6D9E" w:rsidR="00914C8F" w:rsidRDefault="00000000">
      <w:pPr>
        <w:pStyle w:val="Heading2"/>
      </w:pPr>
      <w:bookmarkStart w:id="4" w:name="settlement-mechanics"/>
      <w:bookmarkStart w:id="5" w:name="_Toc219838991"/>
      <w:r>
        <w:rPr>
          <w:rStyle w:val="SectionNumber"/>
        </w:rPr>
        <w:t>2.1</w:t>
      </w:r>
      <w:r>
        <w:tab/>
        <w:t>Settlement Mechanics</w:t>
      </w:r>
      <w:bookmarkEnd w:id="5"/>
    </w:p>
    <w:p w14:paraId="43C58A9F" w14:textId="77777777" w:rsidR="00914C8F" w:rsidRDefault="00000000">
      <w:pPr>
        <w:pStyle w:val="FirstParagraph"/>
      </w:pPr>
      <w:r>
        <w:t xml:space="preserve">At settlement time </w:t>
      </w:r>
      <m:oMath>
        <m:r>
          <w:rPr>
            <w:rFonts w:ascii="Cambria Math" w:hAnsi="Cambria Math"/>
          </w:rPr>
          <m:t>τ</m:t>
        </m:r>
      </m:oMath>
      <w:r>
        <w:t xml:space="preserve"> (maturity or knock-out, whichever occurs first), with LBMA gold fixing at price </w:t>
      </w:r>
      <m:oMath>
        <m:r>
          <w:rPr>
            <w:rFonts w:ascii="Cambria Math" w:hAnsi="Cambria Math"/>
          </w:rPr>
          <m:t>P</m:t>
        </m:r>
      </m:oMath>
      <w:r>
        <w:t>:</w:t>
      </w:r>
    </w:p>
    <w:p w14:paraId="0C63D479" w14:textId="77777777" w:rsidR="00914C8F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Z Group Payoff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6CDAF035" w14:textId="77777777" w:rsidR="00914C8F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Alphabank Payoff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263E21AF" w14:textId="77777777" w:rsidR="00914C8F" w:rsidRDefault="00000000">
      <w:pPr>
        <w:pStyle w:val="FirstParagraph"/>
      </w:pPr>
      <w:r>
        <w:t>where:</w:t>
      </w:r>
    </w:p>
    <w:p w14:paraId="389EF6CA" w14:textId="77777777" w:rsidR="00914C8F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</m:oMath>
      <w:r>
        <w:t xml:space="preserve"> EUR (notional principal)</w:t>
      </w:r>
    </w:p>
    <w:p w14:paraId="456E7069" w14:textId="77777777" w:rsidR="00914C8F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600</m:t>
        </m:r>
      </m:oMath>
      <w:r>
        <w:t xml:space="preserve"> USD/oz (strike price)</w:t>
      </w:r>
    </w:p>
    <w:p w14:paraId="38DB3B7F" w14:textId="77777777" w:rsidR="00914C8F" w:rsidRDefault="00000000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t xml:space="preserve"> = LBMA Gold PM fixing at settlement</w:t>
      </w:r>
    </w:p>
    <w:p w14:paraId="4D863853" w14:textId="1619F138" w:rsidR="00914C8F" w:rsidRDefault="00000000">
      <w:pPr>
        <w:pStyle w:val="Heading2"/>
      </w:pPr>
      <w:bookmarkStart w:id="6" w:name="knock-out-mechanism"/>
      <w:bookmarkStart w:id="7" w:name="_Toc219838992"/>
      <w:bookmarkEnd w:id="4"/>
      <w:r>
        <w:rPr>
          <w:rStyle w:val="SectionNumber"/>
        </w:rPr>
        <w:t>2.2</w:t>
      </w:r>
      <w:r>
        <w:tab/>
        <w:t>Knock-Out Mechanism</w:t>
      </w:r>
      <w:bookmarkEnd w:id="7"/>
    </w:p>
    <w:p w14:paraId="312BA30B" w14:textId="77777777" w:rsidR="00914C8F" w:rsidRDefault="00000000">
      <w:pPr>
        <w:pStyle w:val="FirstParagraph"/>
      </w:pPr>
      <w:r>
        <w:t>The contract terminates immediately upon the first occurrence of:</w:t>
      </w:r>
    </w:p>
    <w:p w14:paraId="721A9D22" w14:textId="77777777" w:rsidR="00914C8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L 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U</m:t>
          </m:r>
        </m:oMath>
      </m:oMathPara>
    </w:p>
    <w:p w14:paraId="020B0DC7" w14:textId="77777777" w:rsidR="00914C8F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denotes the EUR/USD rate,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1.05</m:t>
        </m:r>
      </m:oMath>
      <w:r>
        <w:t xml:space="preserve"> (lower barrier), and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1.25</m:t>
        </m:r>
      </m:oMath>
      <w:r>
        <w:t xml:space="preserve"> (upper barrier).</w:t>
      </w:r>
    </w:p>
    <w:p w14:paraId="7D1C3879" w14:textId="77777777" w:rsidR="00914C8F" w:rsidRDefault="00000000">
      <w:pPr>
        <w:pStyle w:val="BodyText"/>
      </w:pPr>
      <w:r>
        <w:t>The stopping time is defined as:</w:t>
      </w:r>
    </w:p>
    <w:p w14:paraId="3EAF681B" w14:textId="77777777" w:rsidR="00914C8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KO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=inf{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∉(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)}</m:t>
          </m:r>
        </m:oMath>
      </m:oMathPara>
    </w:p>
    <w:p w14:paraId="6A399EA9" w14:textId="77777777" w:rsidR="00914C8F" w:rsidRDefault="00000000">
      <w:pPr>
        <w:pStyle w:val="FirstParagraph"/>
      </w:pPr>
      <w:r>
        <w:t xml:space="preserve">Settlement occurs at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=min(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KO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where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years.</w:t>
      </w:r>
    </w:p>
    <w:p w14:paraId="3F88A4D8" w14:textId="6764E629" w:rsidR="00914C8F" w:rsidRDefault="00000000">
      <w:pPr>
        <w:pStyle w:val="Heading1"/>
      </w:pPr>
      <w:bookmarkStart w:id="8" w:name="mathematical-framework"/>
      <w:bookmarkStart w:id="9" w:name="_Toc219838993"/>
      <w:bookmarkEnd w:id="2"/>
      <w:bookmarkEnd w:id="6"/>
      <w:r>
        <w:rPr>
          <w:rStyle w:val="SectionNumber"/>
        </w:rPr>
        <w:t>3</w:t>
      </w:r>
      <w:r>
        <w:tab/>
        <w:t>Mathematical Framework</w:t>
      </w:r>
      <w:bookmarkEnd w:id="9"/>
    </w:p>
    <w:p w14:paraId="7828B813" w14:textId="6A0E3D5A" w:rsidR="00914C8F" w:rsidRDefault="00000000">
      <w:pPr>
        <w:pStyle w:val="Heading2"/>
      </w:pPr>
      <w:bookmarkStart w:id="10" w:name="stochastic-model"/>
      <w:bookmarkStart w:id="11" w:name="_Toc219838994"/>
      <w:r>
        <w:rPr>
          <w:rStyle w:val="SectionNumber"/>
        </w:rPr>
        <w:t>3.1</w:t>
      </w:r>
      <w:r>
        <w:tab/>
        <w:t>Stochastic Model</w:t>
      </w:r>
      <w:bookmarkEnd w:id="11"/>
    </w:p>
    <w:p w14:paraId="4D2AA74A" w14:textId="77777777" w:rsidR="00914C8F" w:rsidRDefault="00000000">
      <w:pPr>
        <w:pStyle w:val="FirstParagraph"/>
      </w:pPr>
      <w:r>
        <w:t xml:space="preserve">Both underlying assets follow geometric Brownian motion under the risk-neutral measure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</m:oMath>
      <w:r>
        <w:t>.</w:t>
      </w:r>
    </w:p>
    <w:p w14:paraId="78609B6B" w14:textId="77777777" w:rsidR="00914C8F" w:rsidRDefault="00000000">
      <w:pPr>
        <w:pStyle w:val="BodyText"/>
      </w:pPr>
      <w:r>
        <w:rPr>
          <w:b/>
          <w:bCs/>
        </w:rPr>
        <w:t>Gold Price Dynamics (USD):</w:t>
      </w:r>
    </w:p>
    <w:p w14:paraId="2D375A66" w14:textId="77777777" w:rsidR="00914C8F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USD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 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3F93BE91" w14:textId="77777777" w:rsidR="00914C8F" w:rsidRDefault="00000000">
      <w:pPr>
        <w:pStyle w:val="FirstParagraph"/>
      </w:pPr>
      <w:r>
        <w:rPr>
          <w:b/>
          <w:bCs/>
        </w:rPr>
        <w:lastRenderedPageBreak/>
        <w:t>EUR/USD Exchange Rate:</w:t>
      </w:r>
    </w:p>
    <w:p w14:paraId="22028D68" w14:textId="77777777" w:rsidR="00914C8F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EUR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USD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 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56F78242" w14:textId="77777777" w:rsidR="00914C8F" w:rsidRDefault="00000000">
      <w:pPr>
        <w:pStyle w:val="FirstParagraph"/>
      </w:pPr>
      <w:r>
        <w:rPr>
          <w:b/>
          <w:bCs/>
        </w:rPr>
        <w:t>Correlation Structure:</w:t>
      </w:r>
    </w:p>
    <w:p w14:paraId="704CEFA5" w14:textId="77777777" w:rsidR="00914C8F" w:rsidRDefault="00000000"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E[</m:t>
          </m:r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ρ dt</m:t>
          </m:r>
        </m:oMath>
      </m:oMathPara>
    </w:p>
    <w:p w14:paraId="52928CB1" w14:textId="73BF94D5" w:rsidR="00914C8F" w:rsidRDefault="00000000">
      <w:pPr>
        <w:pStyle w:val="Heading2"/>
      </w:pPr>
      <w:bookmarkStart w:id="12" w:name="parameter-estimates"/>
      <w:bookmarkStart w:id="13" w:name="_Toc219838995"/>
      <w:bookmarkEnd w:id="10"/>
      <w:r>
        <w:rPr>
          <w:rStyle w:val="SectionNumber"/>
        </w:rPr>
        <w:t>3.2</w:t>
      </w:r>
      <w:r>
        <w:tab/>
        <w:t>Parameter Estimates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9"/>
        <w:gridCol w:w="995"/>
        <w:gridCol w:w="1630"/>
        <w:gridCol w:w="1795"/>
      </w:tblGrid>
      <w:tr w:rsidR="00914C8F" w14:paraId="17111231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2C56F6" w14:textId="77777777" w:rsidR="00914C8F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F111473" w14:textId="77777777" w:rsidR="00914C8F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5D4A6DFF" w14:textId="77777777" w:rsidR="00914C8F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0B6AB0E6" w14:textId="77777777" w:rsidR="00914C8F" w:rsidRDefault="00000000">
            <w:pPr>
              <w:pStyle w:val="Compact"/>
            </w:pPr>
            <w:r>
              <w:t>Source</w:t>
            </w:r>
          </w:p>
        </w:tc>
      </w:tr>
      <w:tr w:rsidR="00914C8F" w14:paraId="50590473" w14:textId="77777777">
        <w:tc>
          <w:tcPr>
            <w:tcW w:w="0" w:type="auto"/>
          </w:tcPr>
          <w:p w14:paraId="04F3A2D8" w14:textId="77777777" w:rsidR="00914C8F" w:rsidRDefault="00000000">
            <w:pPr>
              <w:pStyle w:val="Compact"/>
            </w:pPr>
            <w:r>
              <w:t>Gold spot</w:t>
            </w:r>
          </w:p>
        </w:tc>
        <w:tc>
          <w:tcPr>
            <w:tcW w:w="0" w:type="auto"/>
          </w:tcPr>
          <w:p w14:paraId="11BADF0F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90C0AD4" w14:textId="77777777" w:rsidR="00914C8F" w:rsidRDefault="00000000">
            <w:pPr>
              <w:pStyle w:val="Compact"/>
            </w:pPr>
            <w:r>
              <w:t>USD 2,750/oz</w:t>
            </w:r>
          </w:p>
        </w:tc>
        <w:tc>
          <w:tcPr>
            <w:tcW w:w="0" w:type="auto"/>
          </w:tcPr>
          <w:p w14:paraId="6E0852AF" w14:textId="77777777" w:rsidR="00914C8F" w:rsidRDefault="00000000">
            <w:pPr>
              <w:pStyle w:val="Compact"/>
            </w:pPr>
            <w:r>
              <w:t>LBMA Jan 2026</w:t>
            </w:r>
          </w:p>
        </w:tc>
      </w:tr>
      <w:tr w:rsidR="00914C8F" w14:paraId="45D76AB1" w14:textId="77777777">
        <w:tc>
          <w:tcPr>
            <w:tcW w:w="0" w:type="auto"/>
          </w:tcPr>
          <w:p w14:paraId="020C99CE" w14:textId="77777777" w:rsidR="00914C8F" w:rsidRDefault="00000000">
            <w:pPr>
              <w:pStyle w:val="Compact"/>
            </w:pPr>
            <w:r>
              <w:t>EUR/USD spot</w:t>
            </w:r>
          </w:p>
        </w:tc>
        <w:tc>
          <w:tcPr>
            <w:tcW w:w="0" w:type="auto"/>
          </w:tcPr>
          <w:p w14:paraId="38752823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1919851" w14:textId="77777777" w:rsidR="00914C8F" w:rsidRDefault="00000000">
            <w:pPr>
              <w:pStyle w:val="Compact"/>
            </w:pPr>
            <w:r>
              <w:t>1.08</w:t>
            </w:r>
          </w:p>
        </w:tc>
        <w:tc>
          <w:tcPr>
            <w:tcW w:w="0" w:type="auto"/>
          </w:tcPr>
          <w:p w14:paraId="498D1E7D" w14:textId="77777777" w:rsidR="00914C8F" w:rsidRDefault="00000000">
            <w:pPr>
              <w:pStyle w:val="Compact"/>
            </w:pPr>
            <w:r>
              <w:t>ECB reference</w:t>
            </w:r>
          </w:p>
        </w:tc>
      </w:tr>
      <w:tr w:rsidR="00914C8F" w14:paraId="2DFB6E48" w14:textId="77777777">
        <w:tc>
          <w:tcPr>
            <w:tcW w:w="0" w:type="auto"/>
          </w:tcPr>
          <w:p w14:paraId="7424DFF7" w14:textId="77777777" w:rsidR="00914C8F" w:rsidRDefault="00000000">
            <w:pPr>
              <w:pStyle w:val="Compact"/>
            </w:pPr>
            <w:r>
              <w:t>USD risk-free rate</w:t>
            </w:r>
          </w:p>
        </w:tc>
        <w:tc>
          <w:tcPr>
            <w:tcW w:w="0" w:type="auto"/>
          </w:tcPr>
          <w:p w14:paraId="45B0F480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USD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0A0B063" w14:textId="77777777" w:rsidR="00914C8F" w:rsidRDefault="00000000">
            <w:pPr>
              <w:pStyle w:val="Compact"/>
            </w:pPr>
            <w:r>
              <w:t>4.5%</w:t>
            </w:r>
          </w:p>
        </w:tc>
        <w:tc>
          <w:tcPr>
            <w:tcW w:w="0" w:type="auto"/>
          </w:tcPr>
          <w:p w14:paraId="1F9B904C" w14:textId="77777777" w:rsidR="00914C8F" w:rsidRDefault="00000000">
            <w:pPr>
              <w:pStyle w:val="Compact"/>
            </w:pPr>
            <w:r>
              <w:t>OIS curve</w:t>
            </w:r>
          </w:p>
        </w:tc>
      </w:tr>
      <w:tr w:rsidR="00914C8F" w14:paraId="5C1BA364" w14:textId="77777777">
        <w:tc>
          <w:tcPr>
            <w:tcW w:w="0" w:type="auto"/>
          </w:tcPr>
          <w:p w14:paraId="21C27C40" w14:textId="77777777" w:rsidR="00914C8F" w:rsidRDefault="00000000">
            <w:pPr>
              <w:pStyle w:val="Compact"/>
            </w:pPr>
            <w:r>
              <w:t>EUR risk-free rate</w:t>
            </w:r>
          </w:p>
        </w:tc>
        <w:tc>
          <w:tcPr>
            <w:tcW w:w="0" w:type="auto"/>
          </w:tcPr>
          <w:p w14:paraId="3D2570A7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EUR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05F827E" w14:textId="77777777" w:rsidR="00914C8F" w:rsidRDefault="00000000">
            <w:pPr>
              <w:pStyle w:val="Compact"/>
            </w:pPr>
            <w:r>
              <w:t>2.5%</w:t>
            </w:r>
          </w:p>
        </w:tc>
        <w:tc>
          <w:tcPr>
            <w:tcW w:w="0" w:type="auto"/>
          </w:tcPr>
          <w:p w14:paraId="4B1E1515" w14:textId="77777777" w:rsidR="00914C8F" w:rsidRDefault="00000000">
            <w:pPr>
              <w:pStyle w:val="Compact"/>
            </w:pPr>
            <w:r>
              <w:t>OIS curve</w:t>
            </w:r>
          </w:p>
        </w:tc>
      </w:tr>
      <w:tr w:rsidR="00914C8F" w14:paraId="7DEEB551" w14:textId="77777777">
        <w:tc>
          <w:tcPr>
            <w:tcW w:w="0" w:type="auto"/>
          </w:tcPr>
          <w:p w14:paraId="2B580839" w14:textId="77777777" w:rsidR="00914C8F" w:rsidRDefault="00000000">
            <w:pPr>
              <w:pStyle w:val="Compact"/>
            </w:pPr>
            <w:r>
              <w:t>Gold volatility</w:t>
            </w:r>
          </w:p>
        </w:tc>
        <w:tc>
          <w:tcPr>
            <w:tcW w:w="0" w:type="auto"/>
          </w:tcPr>
          <w:p w14:paraId="6B4044D3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B9D55DB" w14:textId="77777777" w:rsidR="00914C8F" w:rsidRDefault="00000000">
            <w:pPr>
              <w:pStyle w:val="Compact"/>
            </w:pPr>
            <w:r>
              <w:t>18%</w:t>
            </w:r>
          </w:p>
        </w:tc>
        <w:tc>
          <w:tcPr>
            <w:tcW w:w="0" w:type="auto"/>
          </w:tcPr>
          <w:p w14:paraId="7DF36821" w14:textId="77777777" w:rsidR="00914C8F" w:rsidRDefault="00000000">
            <w:pPr>
              <w:pStyle w:val="Compact"/>
            </w:pPr>
            <w:r>
              <w:t>1Y ATM implied</w:t>
            </w:r>
          </w:p>
        </w:tc>
      </w:tr>
      <w:tr w:rsidR="00914C8F" w14:paraId="63BDA3A6" w14:textId="77777777">
        <w:tc>
          <w:tcPr>
            <w:tcW w:w="0" w:type="auto"/>
          </w:tcPr>
          <w:p w14:paraId="49AEE3E1" w14:textId="77777777" w:rsidR="00914C8F" w:rsidRDefault="00000000">
            <w:pPr>
              <w:pStyle w:val="Compact"/>
            </w:pPr>
            <w:r>
              <w:t>EUR/USD volatility</w:t>
            </w:r>
          </w:p>
        </w:tc>
        <w:tc>
          <w:tcPr>
            <w:tcW w:w="0" w:type="auto"/>
          </w:tcPr>
          <w:p w14:paraId="55690787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952A940" w14:textId="77777777" w:rsidR="00914C8F" w:rsidRDefault="00000000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3333C29C" w14:textId="77777777" w:rsidR="00914C8F" w:rsidRDefault="00000000">
            <w:pPr>
              <w:pStyle w:val="Compact"/>
            </w:pPr>
            <w:r>
              <w:t>1Y ATM implied</w:t>
            </w:r>
          </w:p>
        </w:tc>
      </w:tr>
      <w:tr w:rsidR="00914C8F" w14:paraId="56B57855" w14:textId="77777777">
        <w:tc>
          <w:tcPr>
            <w:tcW w:w="0" w:type="auto"/>
          </w:tcPr>
          <w:p w14:paraId="7D3C145B" w14:textId="77777777" w:rsidR="00914C8F" w:rsidRDefault="00000000">
            <w:pPr>
              <w:pStyle w:val="Compact"/>
            </w:pPr>
            <w:r>
              <w:t>Correlation</w:t>
            </w:r>
          </w:p>
        </w:tc>
        <w:tc>
          <w:tcPr>
            <w:tcW w:w="0" w:type="auto"/>
          </w:tcPr>
          <w:p w14:paraId="04E5ED56" w14:textId="77777777" w:rsidR="00914C8F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0" w:type="auto"/>
          </w:tcPr>
          <w:p w14:paraId="03CE9C8A" w14:textId="77777777" w:rsidR="00914C8F" w:rsidRDefault="00000000">
            <w:pPr>
              <w:pStyle w:val="Compact"/>
            </w:pPr>
            <w:r>
              <w:t>−0.25</w:t>
            </w:r>
          </w:p>
        </w:tc>
        <w:tc>
          <w:tcPr>
            <w:tcW w:w="0" w:type="auto"/>
          </w:tcPr>
          <w:p w14:paraId="285818A0" w14:textId="77777777" w:rsidR="00914C8F" w:rsidRDefault="00000000">
            <w:pPr>
              <w:pStyle w:val="Compact"/>
            </w:pPr>
            <w:r>
              <w:t>1Y historical</w:t>
            </w:r>
          </w:p>
        </w:tc>
      </w:tr>
      <w:tr w:rsidR="00914C8F" w14:paraId="36717343" w14:textId="77777777">
        <w:tc>
          <w:tcPr>
            <w:tcW w:w="0" w:type="auto"/>
          </w:tcPr>
          <w:p w14:paraId="0AD6364A" w14:textId="77777777" w:rsidR="00914C8F" w:rsidRDefault="00000000">
            <w:pPr>
              <w:pStyle w:val="Compact"/>
            </w:pPr>
            <w:r>
              <w:t>Gold convenience yield</w:t>
            </w:r>
          </w:p>
        </w:tc>
        <w:tc>
          <w:tcPr>
            <w:tcW w:w="0" w:type="auto"/>
          </w:tcPr>
          <w:p w14:paraId="56ED6D74" w14:textId="77777777" w:rsidR="00914C8F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14:paraId="6D8CDA4C" w14:textId="77777777" w:rsidR="00914C8F" w:rsidRDefault="00000000">
            <w:pPr>
              <w:pStyle w:val="Compact"/>
            </w:pPr>
            <w:r>
              <w:t>0.5%</w:t>
            </w:r>
          </w:p>
        </w:tc>
        <w:tc>
          <w:tcPr>
            <w:tcW w:w="0" w:type="auto"/>
          </w:tcPr>
          <w:p w14:paraId="4F9F89AC" w14:textId="77777777" w:rsidR="00914C8F" w:rsidRDefault="00000000">
            <w:pPr>
              <w:pStyle w:val="Compact"/>
            </w:pPr>
            <w:r>
              <w:t>GOFO proxy</w:t>
            </w:r>
          </w:p>
        </w:tc>
      </w:tr>
    </w:tbl>
    <w:p w14:paraId="395F9AC5" w14:textId="4BCA93E3" w:rsidR="00914C8F" w:rsidRDefault="00000000">
      <w:pPr>
        <w:pStyle w:val="Heading2"/>
      </w:pPr>
      <w:bookmarkStart w:id="14" w:name="risk-neutral-valuation"/>
      <w:bookmarkStart w:id="15" w:name="_Toc219838996"/>
      <w:bookmarkEnd w:id="12"/>
      <w:r>
        <w:rPr>
          <w:rStyle w:val="SectionNumber"/>
        </w:rPr>
        <w:t>3.3</w:t>
      </w:r>
      <w:r>
        <w:tab/>
        <w:t>Risk-Neutral Valuation</w:t>
      </w:r>
      <w:bookmarkEnd w:id="15"/>
    </w:p>
    <w:p w14:paraId="23C151B5" w14:textId="77777777" w:rsidR="00914C8F" w:rsidRDefault="00000000">
      <w:pPr>
        <w:pStyle w:val="FirstParagraph"/>
      </w:pPr>
      <w:r>
        <w:t>The present value under the EUR risk-neutral measure:</w:t>
      </w:r>
    </w:p>
    <w:p w14:paraId="4A6853EF" w14:textId="77777777" w:rsidR="00914C8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EUR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τ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Payoff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1F68E718" w14:textId="77777777" w:rsidR="00914C8F" w:rsidRDefault="00000000">
      <w:pPr>
        <w:pStyle w:val="FirstParagraph"/>
      </w:pPr>
      <w:r>
        <w:t>The path-dependent barrier feature precludes closed-form solutions, necessitating Monte Carlo methods.</w:t>
      </w:r>
    </w:p>
    <w:p w14:paraId="16765372" w14:textId="66A0D357" w:rsidR="00914C8F" w:rsidRDefault="00000000">
      <w:pPr>
        <w:pStyle w:val="Heading1"/>
      </w:pPr>
      <w:bookmarkStart w:id="16" w:name="numerical-implementation"/>
      <w:bookmarkStart w:id="17" w:name="_Toc219838997"/>
      <w:bookmarkEnd w:id="8"/>
      <w:bookmarkEnd w:id="14"/>
      <w:r>
        <w:rPr>
          <w:rStyle w:val="SectionNumber"/>
        </w:rPr>
        <w:t>4</w:t>
      </w:r>
      <w:r>
        <w:tab/>
        <w:t>Numerical Implementation</w:t>
      </w:r>
      <w:bookmarkEnd w:id="17"/>
    </w:p>
    <w:p w14:paraId="546BFA14" w14:textId="4913BFD8" w:rsidR="00914C8F" w:rsidRDefault="00000000">
      <w:pPr>
        <w:pStyle w:val="Heading2"/>
      </w:pPr>
      <w:bookmarkStart w:id="18" w:name="simulation-methodology"/>
      <w:bookmarkStart w:id="19" w:name="_Toc219838998"/>
      <w:r>
        <w:rPr>
          <w:rStyle w:val="SectionNumber"/>
        </w:rPr>
        <w:t>4.1</w:t>
      </w:r>
      <w:r>
        <w:tab/>
        <w:t>Simulation Methodology</w:t>
      </w:r>
      <w:bookmarkEnd w:id="19"/>
    </w:p>
    <w:p w14:paraId="4D65BDE9" w14:textId="77777777" w:rsidR="00914C8F" w:rsidRDefault="00000000">
      <w:pPr>
        <w:pStyle w:val="FirstParagraph"/>
      </w:pPr>
      <w:r>
        <w:t>We employ Monte Carlo simulation with the following specifications: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32"/>
        <w:gridCol w:w="2311"/>
        <w:gridCol w:w="3633"/>
      </w:tblGrid>
      <w:tr w:rsidR="00914C8F" w14:paraId="30C0066F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</w:tcPr>
          <w:p w14:paraId="53337C05" w14:textId="77777777" w:rsidR="00914C8F" w:rsidRDefault="00000000">
            <w:pPr>
              <w:pStyle w:val="Compact"/>
            </w:pPr>
            <w:r>
              <w:t>Parameter</w:t>
            </w:r>
          </w:p>
        </w:tc>
        <w:tc>
          <w:tcPr>
            <w:tcW w:w="1911" w:type="dxa"/>
          </w:tcPr>
          <w:p w14:paraId="7929A6A0" w14:textId="77777777" w:rsidR="00914C8F" w:rsidRDefault="00000000">
            <w:pPr>
              <w:pStyle w:val="Compact"/>
            </w:pPr>
            <w:r>
              <w:t>Value</w:t>
            </w:r>
          </w:p>
        </w:tc>
        <w:tc>
          <w:tcPr>
            <w:tcW w:w="3004" w:type="dxa"/>
          </w:tcPr>
          <w:p w14:paraId="4DEA4E05" w14:textId="77777777" w:rsidR="00914C8F" w:rsidRDefault="00000000">
            <w:pPr>
              <w:pStyle w:val="Compact"/>
            </w:pPr>
            <w:r>
              <w:t>Rationale</w:t>
            </w:r>
          </w:p>
        </w:tc>
      </w:tr>
      <w:tr w:rsidR="00914C8F" w14:paraId="0E734F08" w14:textId="77777777">
        <w:tc>
          <w:tcPr>
            <w:tcW w:w="3004" w:type="dxa"/>
          </w:tcPr>
          <w:p w14:paraId="51C3AA63" w14:textId="77777777" w:rsidR="00914C8F" w:rsidRDefault="00000000">
            <w:pPr>
              <w:pStyle w:val="Compact"/>
            </w:pPr>
            <w:r>
              <w:t>Simulation paths</w:t>
            </w:r>
          </w:p>
        </w:tc>
        <w:tc>
          <w:tcPr>
            <w:tcW w:w="1911" w:type="dxa"/>
          </w:tcPr>
          <w:p w14:paraId="5A6C7E8A" w14:textId="77777777" w:rsidR="00914C8F" w:rsidRDefault="00000000">
            <w:pPr>
              <w:pStyle w:val="Compact"/>
            </w:pPr>
            <w:r>
              <w:t>100,000</w:t>
            </w:r>
          </w:p>
        </w:tc>
        <w:tc>
          <w:tcPr>
            <w:tcW w:w="3004" w:type="dxa"/>
          </w:tcPr>
          <w:p w14:paraId="0F3F6787" w14:textId="77777777" w:rsidR="00914C8F" w:rsidRDefault="00000000">
            <w:pPr>
              <w:pStyle w:val="Compact"/>
            </w:pPr>
            <w:r>
              <w:t>Adequate precision for indicative pricing</w:t>
            </w:r>
          </w:p>
        </w:tc>
      </w:tr>
      <w:tr w:rsidR="00914C8F" w14:paraId="20B1FF91" w14:textId="77777777">
        <w:tc>
          <w:tcPr>
            <w:tcW w:w="3004" w:type="dxa"/>
          </w:tcPr>
          <w:p w14:paraId="78ABA717" w14:textId="77777777" w:rsidR="00914C8F" w:rsidRDefault="00000000">
            <w:pPr>
              <w:pStyle w:val="Compact"/>
            </w:pPr>
            <w:r>
              <w:t>Time steps</w:t>
            </w:r>
          </w:p>
        </w:tc>
        <w:tc>
          <w:tcPr>
            <w:tcW w:w="1911" w:type="dxa"/>
          </w:tcPr>
          <w:p w14:paraId="6C361E9B" w14:textId="77777777" w:rsidR="00914C8F" w:rsidRDefault="00000000">
            <w:pPr>
              <w:pStyle w:val="Compact"/>
            </w:pPr>
            <w:r>
              <w:t>504</w:t>
            </w:r>
          </w:p>
        </w:tc>
        <w:tc>
          <w:tcPr>
            <w:tcW w:w="3004" w:type="dxa"/>
          </w:tcPr>
          <w:p w14:paraId="734106E2" w14:textId="77777777" w:rsidR="00914C8F" w:rsidRDefault="00000000">
            <w:pPr>
              <w:pStyle w:val="Compact"/>
            </w:pPr>
            <w:r>
              <w:t>Daily monitoring over 2 years</w:t>
            </w:r>
          </w:p>
        </w:tc>
      </w:tr>
      <w:tr w:rsidR="00914C8F" w14:paraId="11E107EE" w14:textId="77777777">
        <w:tc>
          <w:tcPr>
            <w:tcW w:w="3004" w:type="dxa"/>
          </w:tcPr>
          <w:p w14:paraId="67A63411" w14:textId="77777777" w:rsidR="00914C8F" w:rsidRDefault="00000000">
            <w:pPr>
              <w:pStyle w:val="Compact"/>
            </w:pPr>
            <w:r>
              <w:t>Random seed</w:t>
            </w:r>
          </w:p>
        </w:tc>
        <w:tc>
          <w:tcPr>
            <w:tcW w:w="1911" w:type="dxa"/>
          </w:tcPr>
          <w:p w14:paraId="6E285A92" w14:textId="77777777" w:rsidR="00914C8F" w:rsidRDefault="00000000">
            <w:pPr>
              <w:pStyle w:val="Compact"/>
            </w:pPr>
            <w:r>
              <w:t>Fixed</w:t>
            </w:r>
          </w:p>
        </w:tc>
        <w:tc>
          <w:tcPr>
            <w:tcW w:w="3004" w:type="dxa"/>
          </w:tcPr>
          <w:p w14:paraId="1D27908C" w14:textId="77777777" w:rsidR="00914C8F" w:rsidRDefault="00000000">
            <w:pPr>
              <w:pStyle w:val="Compact"/>
            </w:pPr>
            <w:r>
              <w:t>Reproducibility</w:t>
            </w:r>
          </w:p>
        </w:tc>
      </w:tr>
    </w:tbl>
    <w:p w14:paraId="00F9EA5D" w14:textId="77777777" w:rsidR="00914C8F" w:rsidRDefault="00000000">
      <w:pPr>
        <w:pStyle w:val="BodyText"/>
      </w:pPr>
      <w:r>
        <w:rPr>
          <w:b/>
          <w:bCs/>
        </w:rPr>
        <w:t>Discretization Scheme</w:t>
      </w:r>
    </w:p>
    <w:p w14:paraId="0EA0AE68" w14:textId="77777777" w:rsidR="00914C8F" w:rsidRDefault="00000000">
      <w:pPr>
        <w:pStyle w:val="BodyText"/>
      </w:pPr>
      <w:r>
        <w:lastRenderedPageBreak/>
        <w:t>Asset prices are simulated using the exact log-normal solution:</w:t>
      </w:r>
    </w:p>
    <w:p w14:paraId="454F7D3C" w14:textId="77777777" w:rsidR="00914C8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ra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158447A5" w14:textId="77777777" w:rsidR="00914C8F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⋅exp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ra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EBD42D6" w14:textId="77777777" w:rsidR="00914C8F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are correlated standard normals generated via Cholesky decomposition:</w:t>
      </w:r>
    </w:p>
    <w:p w14:paraId="0DB9C092" w14:textId="77777777" w:rsidR="00914C8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⟂</m:t>
              </m:r>
            </m:sub>
          </m:sSub>
        </m:oMath>
      </m:oMathPara>
    </w:p>
    <w:p w14:paraId="2A1D56B0" w14:textId="4D4313AF" w:rsidR="00914C8F" w:rsidRDefault="00000000">
      <w:pPr>
        <w:pStyle w:val="Heading2"/>
      </w:pPr>
      <w:bookmarkStart w:id="20" w:name="variance-reduction"/>
      <w:bookmarkStart w:id="21" w:name="_Toc219838999"/>
      <w:bookmarkEnd w:id="18"/>
      <w:r>
        <w:rPr>
          <w:rStyle w:val="SectionNumber"/>
        </w:rPr>
        <w:t>4.2</w:t>
      </w:r>
      <w:r>
        <w:tab/>
        <w:t>Variance Reduction</w:t>
      </w:r>
      <w:bookmarkEnd w:id="21"/>
    </w:p>
    <w:p w14:paraId="429379E0" w14:textId="77777777" w:rsidR="00914C8F" w:rsidRDefault="00000000">
      <w:pPr>
        <w:pStyle w:val="FirstParagraph"/>
      </w:pPr>
      <w:r>
        <w:t>Two techniques are implemented to improve computational efficiency:</w:t>
      </w:r>
    </w:p>
    <w:p w14:paraId="2EB75B58" w14:textId="77777777" w:rsidR="00914C8F" w:rsidRDefault="00000000">
      <w:pPr>
        <w:pStyle w:val="BodyText"/>
      </w:pPr>
      <w:r>
        <w:rPr>
          <w:b/>
          <w:bCs/>
        </w:rPr>
        <w:t>Antithetic Variates:</w:t>
      </w:r>
      <w:r>
        <w:t xml:space="preserve"> For each path with innovations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we also simulate the reflected path </w:t>
      </w:r>
      <m:oMath>
        <m:r>
          <m:rPr>
            <m:sty m:val="p"/>
          </m:rPr>
          <w:rPr>
            <w:rFonts w:ascii="Cambria Math" w:hAnsi="Cambria Math"/>
          </w:rPr>
          <m:t>{-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>. The negative correlation between paired paths reduces variance.</w:t>
      </w:r>
    </w:p>
    <w:p w14:paraId="4B38180F" w14:textId="77777777" w:rsidR="00914C8F" w:rsidRDefault="00000000">
      <w:pPr>
        <w:pStyle w:val="BodyText"/>
      </w:pPr>
      <w:r>
        <w:rPr>
          <w:b/>
          <w:bCs/>
        </w:rPr>
        <w:t>Control Variate:</w:t>
      </w:r>
      <w:r>
        <w:t xml:space="preserve"> The vanilla gold forward (without barriers) serves as a control:</w:t>
      </w:r>
    </w:p>
    <w:p w14:paraId="41FFD02A" w14:textId="77777777" w:rsidR="00914C8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adj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exotic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vanilla</m:t>
                  </m:r>
                </m:sub>
                <m:sup>
                  <m:r>
                    <w:rPr>
                      <w:rFonts w:ascii="Cambria Math" w:hAnsi="Cambria Math"/>
                    </w:rPr>
                    <m:t>analytical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vanilla</m:t>
                  </m:r>
                </m:sub>
              </m:sSub>
            </m:e>
          </m:d>
        </m:oMath>
      </m:oMathPara>
    </w:p>
    <w:p w14:paraId="0DE1B77F" w14:textId="77777777" w:rsidR="00914C8F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β</m:t>
        </m:r>
      </m:oMath>
      <w:r>
        <w:t xml:space="preserve"> is the optimal control coefficient estimated from sample covariance.</w:t>
      </w:r>
    </w:p>
    <w:p w14:paraId="27494D9E" w14:textId="77777777" w:rsidR="00914C8F" w:rsidRDefault="00000000">
      <w:pPr>
        <w:pStyle w:val="BodyText"/>
      </w:pPr>
      <w:r>
        <w:t>Combined, these techniques reduce standard errors by approximately 60%.</w:t>
      </w:r>
    </w:p>
    <w:p w14:paraId="42336F01" w14:textId="1D66C115" w:rsidR="00914C8F" w:rsidRDefault="00000000">
      <w:pPr>
        <w:pStyle w:val="Heading1"/>
      </w:pPr>
      <w:bookmarkStart w:id="22" w:name="pricing-results"/>
      <w:bookmarkStart w:id="23" w:name="_Toc219839000"/>
      <w:bookmarkEnd w:id="16"/>
      <w:bookmarkEnd w:id="20"/>
      <w:r>
        <w:rPr>
          <w:rStyle w:val="SectionNumber"/>
        </w:rPr>
        <w:t>5</w:t>
      </w:r>
      <w:r>
        <w:tab/>
        <w:t>Pricing Results</w:t>
      </w:r>
      <w:bookmarkEnd w:id="23"/>
    </w:p>
    <w:p w14:paraId="4A365394" w14:textId="4BBEC770" w:rsidR="00914C8F" w:rsidRDefault="00000000">
      <w:pPr>
        <w:pStyle w:val="Heading2"/>
      </w:pPr>
      <w:bookmarkStart w:id="24" w:name="base-case-valuation"/>
      <w:bookmarkStart w:id="25" w:name="_Toc219839001"/>
      <w:r>
        <w:rPr>
          <w:rStyle w:val="SectionNumber"/>
        </w:rPr>
        <w:t>5.1</w:t>
      </w:r>
      <w:r>
        <w:tab/>
        <w:t>Base Case Valuation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3"/>
        <w:gridCol w:w="2273"/>
      </w:tblGrid>
      <w:tr w:rsidR="00914C8F" w14:paraId="4E970CA1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3122EB" w14:textId="77777777" w:rsidR="00914C8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5155627" w14:textId="77777777" w:rsidR="00914C8F" w:rsidRDefault="00000000">
            <w:pPr>
              <w:pStyle w:val="Compact"/>
            </w:pPr>
            <w:r>
              <w:t>Value</w:t>
            </w:r>
          </w:p>
        </w:tc>
      </w:tr>
      <w:tr w:rsidR="00914C8F" w14:paraId="0E6D92FD" w14:textId="77777777">
        <w:tc>
          <w:tcPr>
            <w:tcW w:w="0" w:type="auto"/>
          </w:tcPr>
          <w:p w14:paraId="13CC5D13" w14:textId="77777777" w:rsidR="00914C8F" w:rsidRDefault="00000000">
            <w:pPr>
              <w:pStyle w:val="Compact"/>
            </w:pPr>
            <w:r>
              <w:t>Z Group Present Value</w:t>
            </w:r>
          </w:p>
        </w:tc>
        <w:tc>
          <w:tcPr>
            <w:tcW w:w="0" w:type="auto"/>
          </w:tcPr>
          <w:p w14:paraId="221B5A8D" w14:textId="77777777" w:rsidR="00914C8F" w:rsidRDefault="00000000">
            <w:pPr>
              <w:pStyle w:val="Compact"/>
            </w:pPr>
            <w:r>
              <w:t>EUR −191,900,647</w:t>
            </w:r>
          </w:p>
        </w:tc>
      </w:tr>
      <w:tr w:rsidR="00914C8F" w14:paraId="35F9165A" w14:textId="77777777">
        <w:tc>
          <w:tcPr>
            <w:tcW w:w="0" w:type="auto"/>
          </w:tcPr>
          <w:p w14:paraId="1CACBD7E" w14:textId="77777777" w:rsidR="00914C8F" w:rsidRDefault="00000000">
            <w:pPr>
              <w:pStyle w:val="Compact"/>
            </w:pPr>
            <w:r>
              <w:t>Alphabank Present Value</w:t>
            </w:r>
          </w:p>
        </w:tc>
        <w:tc>
          <w:tcPr>
            <w:tcW w:w="0" w:type="auto"/>
          </w:tcPr>
          <w:p w14:paraId="29EE4C7D" w14:textId="77777777" w:rsidR="00914C8F" w:rsidRDefault="00000000">
            <w:pPr>
              <w:pStyle w:val="Compact"/>
            </w:pPr>
            <w:r>
              <w:t>EUR +191,900,647</w:t>
            </w:r>
          </w:p>
        </w:tc>
      </w:tr>
      <w:tr w:rsidR="00914C8F" w14:paraId="0A40B910" w14:textId="77777777">
        <w:tc>
          <w:tcPr>
            <w:tcW w:w="0" w:type="auto"/>
          </w:tcPr>
          <w:p w14:paraId="2FDB445A" w14:textId="77777777" w:rsidR="00914C8F" w:rsidRDefault="00000000">
            <w:pPr>
              <w:pStyle w:val="Compact"/>
            </w:pPr>
            <w:r>
              <w:t>Standard Error</w:t>
            </w:r>
          </w:p>
        </w:tc>
        <w:tc>
          <w:tcPr>
            <w:tcW w:w="0" w:type="auto"/>
          </w:tcPr>
          <w:p w14:paraId="09D9F961" w14:textId="77777777" w:rsidR="00914C8F" w:rsidRDefault="00000000">
            <w:pPr>
              <w:pStyle w:val="Compact"/>
            </w:pPr>
            <w:r>
              <w:t>EUR 123,877</w:t>
            </w:r>
          </w:p>
        </w:tc>
      </w:tr>
      <w:tr w:rsidR="00914C8F" w14:paraId="6553601E" w14:textId="77777777">
        <w:tc>
          <w:tcPr>
            <w:tcW w:w="0" w:type="auto"/>
          </w:tcPr>
          <w:p w14:paraId="70083E7A" w14:textId="77777777" w:rsidR="00914C8F" w:rsidRDefault="00000000">
            <w:pPr>
              <w:pStyle w:val="Compact"/>
            </w:pPr>
            <w:r>
              <w:t>95% Confidence Interval</w:t>
            </w:r>
          </w:p>
        </w:tc>
        <w:tc>
          <w:tcPr>
            <w:tcW w:w="0" w:type="auto"/>
          </w:tcPr>
          <w:p w14:paraId="0751B9D9" w14:textId="77777777" w:rsidR="00914C8F" w:rsidRDefault="00000000">
            <w:pPr>
              <w:pStyle w:val="Compact"/>
            </w:pPr>
            <w:r>
              <w:t>[−192.1M, −191.7M]</w:t>
            </w:r>
          </w:p>
        </w:tc>
      </w:tr>
    </w:tbl>
    <w:p w14:paraId="4A9B5822" w14:textId="1377FC7A" w:rsidR="00914C8F" w:rsidRDefault="00000000">
      <w:pPr>
        <w:pStyle w:val="Heading2"/>
      </w:pPr>
      <w:bookmarkStart w:id="26" w:name="barrier-analysis"/>
      <w:bookmarkStart w:id="27" w:name="_Toc219839002"/>
      <w:bookmarkEnd w:id="24"/>
      <w:r>
        <w:rPr>
          <w:rStyle w:val="SectionNumber"/>
        </w:rPr>
        <w:t>5.2</w:t>
      </w:r>
      <w:r>
        <w:tab/>
        <w:t>Barrier Analysis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6"/>
        <w:gridCol w:w="2637"/>
      </w:tblGrid>
      <w:tr w:rsidR="00914C8F" w14:paraId="15374441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90E625" w14:textId="77777777" w:rsidR="00914C8F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5D9F276" w14:textId="77777777" w:rsidR="00914C8F" w:rsidRDefault="00000000">
            <w:pPr>
              <w:pStyle w:val="Compact"/>
            </w:pPr>
            <w:r>
              <w:t>Value</w:t>
            </w:r>
          </w:p>
        </w:tc>
      </w:tr>
      <w:tr w:rsidR="00914C8F" w14:paraId="1C3CA36C" w14:textId="77777777">
        <w:tc>
          <w:tcPr>
            <w:tcW w:w="0" w:type="auto"/>
          </w:tcPr>
          <w:p w14:paraId="04422B9D" w14:textId="77777777" w:rsidR="00914C8F" w:rsidRDefault="00000000">
            <w:pPr>
              <w:pStyle w:val="Compact"/>
            </w:pPr>
            <w:r>
              <w:t>Overall Knock-Out Rate</w:t>
            </w:r>
          </w:p>
        </w:tc>
        <w:tc>
          <w:tcPr>
            <w:tcW w:w="0" w:type="auto"/>
          </w:tcPr>
          <w:p w14:paraId="798FC9C6" w14:textId="77777777" w:rsidR="00914C8F" w:rsidRDefault="00000000">
            <w:pPr>
              <w:pStyle w:val="Compact"/>
            </w:pPr>
            <w:r>
              <w:t>92.99%</w:t>
            </w:r>
          </w:p>
        </w:tc>
      </w:tr>
      <w:tr w:rsidR="00914C8F" w14:paraId="0937EC29" w14:textId="77777777">
        <w:tc>
          <w:tcPr>
            <w:tcW w:w="0" w:type="auto"/>
          </w:tcPr>
          <w:p w14:paraId="5D562EB0" w14:textId="77777777" w:rsidR="00914C8F" w:rsidRDefault="00000000">
            <w:pPr>
              <w:pStyle w:val="Compact"/>
            </w:pPr>
            <w:r>
              <w:t>Lower Barrier Breaches</w:t>
            </w:r>
          </w:p>
        </w:tc>
        <w:tc>
          <w:tcPr>
            <w:tcW w:w="0" w:type="auto"/>
          </w:tcPr>
          <w:p w14:paraId="4E4A0894" w14:textId="77777777" w:rsidR="00914C8F" w:rsidRDefault="00000000">
            <w:pPr>
              <w:pStyle w:val="Compact"/>
            </w:pPr>
            <w:r>
              <w:t>86.02%</w:t>
            </w:r>
          </w:p>
        </w:tc>
      </w:tr>
      <w:tr w:rsidR="00914C8F" w14:paraId="6080984C" w14:textId="77777777">
        <w:tc>
          <w:tcPr>
            <w:tcW w:w="0" w:type="auto"/>
          </w:tcPr>
          <w:p w14:paraId="416BA4EE" w14:textId="77777777" w:rsidR="00914C8F" w:rsidRDefault="00000000">
            <w:pPr>
              <w:pStyle w:val="Compact"/>
            </w:pPr>
            <w:r>
              <w:t>Upper Barrier Breaches</w:t>
            </w:r>
          </w:p>
        </w:tc>
        <w:tc>
          <w:tcPr>
            <w:tcW w:w="0" w:type="auto"/>
          </w:tcPr>
          <w:p w14:paraId="59A3159A" w14:textId="77777777" w:rsidR="00914C8F" w:rsidRDefault="00000000">
            <w:pPr>
              <w:pStyle w:val="Compact"/>
            </w:pPr>
            <w:r>
              <w:t>6.97%</w:t>
            </w:r>
          </w:p>
        </w:tc>
      </w:tr>
      <w:tr w:rsidR="00914C8F" w14:paraId="66C3D746" w14:textId="77777777">
        <w:tc>
          <w:tcPr>
            <w:tcW w:w="0" w:type="auto"/>
          </w:tcPr>
          <w:p w14:paraId="405F9644" w14:textId="77777777" w:rsidR="00914C8F" w:rsidRDefault="00000000">
            <w:pPr>
              <w:pStyle w:val="Compact"/>
            </w:pPr>
            <w:r>
              <w:t>Average Time to Knock-Out</w:t>
            </w:r>
          </w:p>
        </w:tc>
        <w:tc>
          <w:tcPr>
            <w:tcW w:w="0" w:type="auto"/>
          </w:tcPr>
          <w:p w14:paraId="2E1495CE" w14:textId="77777777" w:rsidR="00914C8F" w:rsidRDefault="00000000">
            <w:pPr>
              <w:pStyle w:val="Compact"/>
            </w:pPr>
            <w:r>
              <w:t>0.43 years (5.2 months)</w:t>
            </w:r>
          </w:p>
        </w:tc>
      </w:tr>
    </w:tbl>
    <w:p w14:paraId="022697A9" w14:textId="77777777" w:rsidR="00914C8F" w:rsidRDefault="00000000">
      <w:pPr>
        <w:pStyle w:val="BodyText"/>
      </w:pPr>
      <w:r>
        <w:lastRenderedPageBreak/>
        <w:t xml:space="preserve">The asymmetry between barrier breaches reflects the negative EUR/USD drift implied by interest rate parity.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EUR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USD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annually, the euro faces persistent depreciation pressure, making the lower barrier far more likely to be reached.</w:t>
      </w:r>
    </w:p>
    <w:p>
      <w:pPr>
        <w:jc w:val="center"/>
        <w:spacing w:before="200" w:after="100"/>
      </w:pPr>
      <w:r>
        <w:rPr>
          <w:b/>
          <w:sz w:val="20"/>
          <w:szCs w:val="20"/>
        </w:rPr>
        <w:t>Figure 1: Monte Carlo Simulation Paths — Gold and EUR/USD price evolution with knock-out barrier visualization</w:t>
      </w:r>
    </w:p>
    <w:p w14:paraId="3020E52C" w14:textId="77777777" w:rsidR="00D0531A" w:rsidRDefault="00D0531A" w:rsidP="005A3702">
      <w:pPr>
        <w:rPr>
          <w:rStyle w:val="SectionNumber"/>
        </w:rPr>
      </w:pPr>
      <w:bookmarkStart w:id="28" w:name="convergence-verification"/>
      <w:bookmarkEnd w:id="26"/>
      <w:r w:rsidRPr="005A3702">
        <w:drawing>
          <wp:inline distT="0" distB="0" distL="0" distR="0" wp14:anchorId="37DA3D54" wp14:editId="4FBC06D1">
            <wp:extent cx="5943600" cy="4231640"/>
            <wp:effectExtent l="0" t="0" r="0" b="0"/>
            <wp:docPr id="8311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1507" name="Picture 831115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7DFA" w14:textId="77777777" w:rsidR="005A3702" w:rsidRPr="005A3702" w:rsidRDefault="005A3702" w:rsidP="005A3702">
      <w:pPr>
        <w:pStyle w:val="BodyText"/>
        <w:rPr>
          <w:rFonts w:hint="eastAsia"/>
        </w:rPr>
      </w:pPr>
    </w:p>
    <w:p w14:paraId="761C9D7D" w14:textId="51D6950D" w:rsidR="00914C8F" w:rsidRDefault="00000000">
      <w:pPr>
        <w:pStyle w:val="Heading2"/>
      </w:pPr>
      <w:bookmarkStart w:id="29" w:name="_Toc219839003"/>
      <w:r>
        <w:rPr>
          <w:rStyle w:val="SectionNumber"/>
        </w:rPr>
        <w:t>5.3</w:t>
      </w:r>
      <w:r>
        <w:tab/>
        <w:t>Convergence Verification</w:t>
      </w:r>
      <w:bookmarkEnd w:id="29"/>
    </w:p>
    <w:p w14:paraId="42D2CB22" w14:textId="77777777" w:rsidR="00914C8F" w:rsidRDefault="00000000">
      <w:pPr>
        <w:pStyle w:val="FirstParagraph"/>
      </w:pPr>
      <w:r>
        <w:t>Monte Carlo estimates stabilize as path counts increase: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4"/>
        <w:gridCol w:w="1715"/>
        <w:gridCol w:w="1722"/>
      </w:tblGrid>
      <w:tr w:rsidR="00914C8F" w14:paraId="564B2EFA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C7A175" w14:textId="77777777" w:rsidR="00914C8F" w:rsidRDefault="00000000">
            <w:pPr>
              <w:pStyle w:val="Compact"/>
            </w:pPr>
            <w:r>
              <w:t>Paths</w:t>
            </w:r>
          </w:p>
        </w:tc>
        <w:tc>
          <w:tcPr>
            <w:tcW w:w="0" w:type="auto"/>
          </w:tcPr>
          <w:p w14:paraId="2489D1A2" w14:textId="77777777" w:rsidR="00914C8F" w:rsidRDefault="00000000">
            <w:pPr>
              <w:pStyle w:val="Compact"/>
            </w:pPr>
            <w:r>
              <w:t>Price Estimate</w:t>
            </w:r>
          </w:p>
        </w:tc>
        <w:tc>
          <w:tcPr>
            <w:tcW w:w="0" w:type="auto"/>
          </w:tcPr>
          <w:p w14:paraId="563BFC4E" w14:textId="77777777" w:rsidR="00914C8F" w:rsidRDefault="00000000">
            <w:pPr>
              <w:pStyle w:val="Compact"/>
            </w:pPr>
            <w:r>
              <w:t>Standard Error</w:t>
            </w:r>
          </w:p>
        </w:tc>
      </w:tr>
      <w:tr w:rsidR="00914C8F" w14:paraId="6FA3FB92" w14:textId="77777777">
        <w:tc>
          <w:tcPr>
            <w:tcW w:w="0" w:type="auto"/>
          </w:tcPr>
          <w:p w14:paraId="1D560337" w14:textId="77777777" w:rsidR="00914C8F" w:rsidRDefault="00000000">
            <w:pPr>
              <w:pStyle w:val="Compact"/>
            </w:pPr>
            <w:r>
              <w:t>5,000</w:t>
            </w:r>
          </w:p>
        </w:tc>
        <w:tc>
          <w:tcPr>
            <w:tcW w:w="0" w:type="auto"/>
          </w:tcPr>
          <w:p w14:paraId="07C61905" w14:textId="77777777" w:rsidR="00914C8F" w:rsidRDefault="00000000">
            <w:pPr>
              <w:pStyle w:val="Compact"/>
            </w:pPr>
            <w:r>
              <w:t>EUR −191.4M</w:t>
            </w:r>
          </w:p>
        </w:tc>
        <w:tc>
          <w:tcPr>
            <w:tcW w:w="0" w:type="auto"/>
          </w:tcPr>
          <w:p w14:paraId="55BA8598" w14:textId="77777777" w:rsidR="00914C8F" w:rsidRDefault="00000000">
            <w:pPr>
              <w:pStyle w:val="Compact"/>
            </w:pPr>
            <w:r>
              <w:t>EUR 551K</w:t>
            </w:r>
          </w:p>
        </w:tc>
      </w:tr>
      <w:tr w:rsidR="00914C8F" w14:paraId="25024333" w14:textId="77777777">
        <w:tc>
          <w:tcPr>
            <w:tcW w:w="0" w:type="auto"/>
          </w:tcPr>
          <w:p w14:paraId="00F70AB3" w14:textId="77777777" w:rsidR="00914C8F" w:rsidRDefault="00000000">
            <w:pPr>
              <w:pStyle w:val="Compact"/>
            </w:pPr>
            <w:r>
              <w:t>10,000</w:t>
            </w:r>
          </w:p>
        </w:tc>
        <w:tc>
          <w:tcPr>
            <w:tcW w:w="0" w:type="auto"/>
          </w:tcPr>
          <w:p w14:paraId="206235D8" w14:textId="77777777" w:rsidR="00914C8F" w:rsidRDefault="00000000">
            <w:pPr>
              <w:pStyle w:val="Compact"/>
            </w:pPr>
            <w:r>
              <w:t>EUR −191.7M</w:t>
            </w:r>
          </w:p>
        </w:tc>
        <w:tc>
          <w:tcPr>
            <w:tcW w:w="0" w:type="auto"/>
          </w:tcPr>
          <w:p w14:paraId="72B85783" w14:textId="77777777" w:rsidR="00914C8F" w:rsidRDefault="00000000">
            <w:pPr>
              <w:pStyle w:val="Compact"/>
            </w:pPr>
            <w:r>
              <w:t>EUR 381K</w:t>
            </w:r>
          </w:p>
        </w:tc>
      </w:tr>
      <w:tr w:rsidR="00914C8F" w14:paraId="398F6360" w14:textId="77777777">
        <w:tc>
          <w:tcPr>
            <w:tcW w:w="0" w:type="auto"/>
          </w:tcPr>
          <w:p w14:paraId="62D8CE52" w14:textId="77777777" w:rsidR="00914C8F" w:rsidRDefault="00000000">
            <w:pPr>
              <w:pStyle w:val="Compact"/>
            </w:pPr>
            <w:r>
              <w:t>25,000</w:t>
            </w:r>
          </w:p>
        </w:tc>
        <w:tc>
          <w:tcPr>
            <w:tcW w:w="0" w:type="auto"/>
          </w:tcPr>
          <w:p w14:paraId="327014FA" w14:textId="77777777" w:rsidR="00914C8F" w:rsidRDefault="00000000">
            <w:pPr>
              <w:pStyle w:val="Compact"/>
            </w:pPr>
            <w:r>
              <w:t>EUR −191.8M</w:t>
            </w:r>
          </w:p>
        </w:tc>
        <w:tc>
          <w:tcPr>
            <w:tcW w:w="0" w:type="auto"/>
          </w:tcPr>
          <w:p w14:paraId="10E197F6" w14:textId="77777777" w:rsidR="00914C8F" w:rsidRDefault="00000000">
            <w:pPr>
              <w:pStyle w:val="Compact"/>
            </w:pPr>
            <w:r>
              <w:t>EUR 247K</w:t>
            </w:r>
          </w:p>
        </w:tc>
      </w:tr>
      <w:tr w:rsidR="00914C8F" w14:paraId="0CD0316C" w14:textId="77777777">
        <w:tc>
          <w:tcPr>
            <w:tcW w:w="0" w:type="auto"/>
          </w:tcPr>
          <w:p w14:paraId="4CE43DC1" w14:textId="77777777" w:rsidR="00914C8F" w:rsidRDefault="00000000">
            <w:pPr>
              <w:pStyle w:val="Compact"/>
            </w:pPr>
            <w:r>
              <w:t>50,000</w:t>
            </w:r>
          </w:p>
        </w:tc>
        <w:tc>
          <w:tcPr>
            <w:tcW w:w="0" w:type="auto"/>
          </w:tcPr>
          <w:p w14:paraId="6B21F3D2" w14:textId="77777777" w:rsidR="00914C8F" w:rsidRDefault="00000000">
            <w:pPr>
              <w:pStyle w:val="Compact"/>
            </w:pPr>
            <w:r>
              <w:t>EUR −192.1M</w:t>
            </w:r>
          </w:p>
        </w:tc>
        <w:tc>
          <w:tcPr>
            <w:tcW w:w="0" w:type="auto"/>
          </w:tcPr>
          <w:p w14:paraId="1093AFE9" w14:textId="77777777" w:rsidR="00914C8F" w:rsidRDefault="00000000">
            <w:pPr>
              <w:pStyle w:val="Compact"/>
            </w:pPr>
            <w:r>
              <w:t>EUR 174K</w:t>
            </w:r>
          </w:p>
        </w:tc>
      </w:tr>
      <w:tr w:rsidR="00914C8F" w14:paraId="0FF33F7C" w14:textId="77777777">
        <w:tc>
          <w:tcPr>
            <w:tcW w:w="0" w:type="auto"/>
          </w:tcPr>
          <w:p w14:paraId="2A04C36B" w14:textId="77777777" w:rsidR="00914C8F" w:rsidRDefault="00000000">
            <w:pPr>
              <w:pStyle w:val="Compact"/>
            </w:pPr>
            <w:r>
              <w:t>100,000</w:t>
            </w:r>
          </w:p>
        </w:tc>
        <w:tc>
          <w:tcPr>
            <w:tcW w:w="0" w:type="auto"/>
          </w:tcPr>
          <w:p w14:paraId="13C9A8C8" w14:textId="77777777" w:rsidR="00914C8F" w:rsidRDefault="00000000">
            <w:pPr>
              <w:pStyle w:val="Compact"/>
            </w:pPr>
            <w:r>
              <w:t>EUR −191.9M</w:t>
            </w:r>
          </w:p>
        </w:tc>
        <w:tc>
          <w:tcPr>
            <w:tcW w:w="0" w:type="auto"/>
          </w:tcPr>
          <w:p w14:paraId="3A5CAA04" w14:textId="77777777" w:rsidR="00914C8F" w:rsidRDefault="00000000">
            <w:pPr>
              <w:pStyle w:val="Compact"/>
            </w:pPr>
            <w:r>
              <w:t>EUR 124K</w:t>
            </w:r>
          </w:p>
        </w:tc>
      </w:tr>
    </w:tbl>
    <w:p w14:paraId="01D73E55" w14:textId="77777777" w:rsidR="00914C8F" w:rsidRDefault="00000000">
      <w:pPr>
        <w:pStyle w:val="BodyText"/>
      </w:pPr>
      <w:r>
        <w:t xml:space="preserve">Standard errors decay proportionally to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, confirming proper convergence behavior.</w:t>
      </w:r>
    </w:p>
    <w:p>
      <w:pPr>
        <w:jc w:val="center"/>
        <w:spacing w:before="200" w:after="100"/>
      </w:pPr>
      <w:r>
        <w:rPr>
          <w:b/>
          <w:sz w:val="20"/>
          <w:szCs w:val="20"/>
        </w:rPr>
        <w:t>Figure 2: Convergence Analysis — Monte Carlo price stability across increasing path counts</w:t>
      </w:r>
    </w:p>
    <w:p w14:paraId="775DFED7" w14:textId="77777777" w:rsidR="00D0531A" w:rsidRDefault="00D0531A" w:rsidP="005A3702">
      <w:pPr>
        <w:rPr>
          <w:rStyle w:val="SectionNumber"/>
        </w:rPr>
      </w:pPr>
      <w:bookmarkStart w:id="30" w:name="critical-assessment"/>
      <w:bookmarkEnd w:id="22"/>
      <w:bookmarkEnd w:id="28"/>
      <w:r w:rsidRPr="005A3702">
        <w:lastRenderedPageBreak/>
        <w:drawing>
          <wp:inline distT="0" distB="0" distL="0" distR="0" wp14:anchorId="1CB748C8" wp14:editId="27219E20">
            <wp:extent cx="5943600" cy="2444115"/>
            <wp:effectExtent l="0" t="0" r="0" b="0"/>
            <wp:docPr id="1476439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9519" name="Picture 14764395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79A4" w14:textId="2203659D" w:rsidR="00914C8F" w:rsidRDefault="00000000">
      <w:pPr>
        <w:pStyle w:val="Heading1"/>
      </w:pPr>
      <w:bookmarkStart w:id="31" w:name="_Toc219839004"/>
      <w:r>
        <w:rPr>
          <w:rStyle w:val="SectionNumber"/>
        </w:rPr>
        <w:t>6</w:t>
      </w:r>
      <w:r>
        <w:tab/>
        <w:t>Critical Assessment</w:t>
      </w:r>
      <w:bookmarkEnd w:id="31"/>
    </w:p>
    <w:p w14:paraId="5CA67F1D" w14:textId="4A703789" w:rsidR="00914C8F" w:rsidRDefault="00000000">
      <w:pPr>
        <w:pStyle w:val="Heading2"/>
      </w:pPr>
      <w:bookmarkStart w:id="32" w:name="strike-price-analysis"/>
      <w:bookmarkStart w:id="33" w:name="_Toc219839005"/>
      <w:r>
        <w:rPr>
          <w:rStyle w:val="SectionNumber"/>
        </w:rPr>
        <w:t>6.1</w:t>
      </w:r>
      <w:r>
        <w:tab/>
        <w:t>Strike Price Analysis</w:t>
      </w:r>
      <w:bookmarkEnd w:id="33"/>
    </w:p>
    <w:p w14:paraId="7A676302" w14:textId="77777777" w:rsidR="00914C8F" w:rsidRDefault="00000000">
      <w:pPr>
        <w:pStyle w:val="FirstParagraph"/>
      </w:pPr>
      <w:r>
        <w:t>The specified strike of USD 4,600/oz warrants careful examination.</w:t>
      </w:r>
    </w:p>
    <w:p w14:paraId="6B4E3E02" w14:textId="77777777" w:rsidR="00914C8F" w:rsidRDefault="00000000">
      <w:pPr>
        <w:pStyle w:val="BodyText"/>
      </w:pPr>
      <w:r>
        <w:rPr>
          <w:b/>
          <w:bCs/>
        </w:rPr>
        <w:t>Forward Price Calculation:</w:t>
      </w:r>
    </w:p>
    <w:p w14:paraId="33ADBD5A" w14:textId="77777777" w:rsidR="00914C8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USD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2750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0.045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0.005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)⋅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>
              <m:nor/>
            </m:rPr>
            <m:t xml:space="preserve">USD 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979</m:t>
          </m:r>
          <m:r>
            <m:rPr>
              <m:nor/>
            </m:rPr>
            <m:t>/oz</m:t>
          </m:r>
        </m:oMath>
      </m:oMathPara>
    </w:p>
    <w:p w14:paraId="2B45EB75" w14:textId="77777777" w:rsidR="00914C8F" w:rsidRDefault="00000000">
      <w:pPr>
        <w:pStyle w:val="FirstParagraph"/>
      </w:pPr>
      <w:r>
        <w:t>The strike exceeds the forward by 54%, placing Z Group in a deeply out-of-the-money position:</w:t>
      </w:r>
    </w:p>
    <w:p w14:paraId="34669F1A" w14:textId="77777777" w:rsidR="00914C8F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Moneyness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2979</m:t>
              </m:r>
            </m:num>
            <m:den>
              <m:r>
                <w:rPr>
                  <w:rFonts w:ascii="Cambria Math" w:hAnsi="Cambria Math"/>
                </w:rPr>
                <m:t>4600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64.8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5FF279BE" w14:textId="77777777" w:rsidR="00914C8F" w:rsidRDefault="00000000">
      <w:pPr>
        <w:pStyle w:val="FirstParagraph"/>
      </w:pPr>
      <w:r>
        <w:rPr>
          <w:b/>
          <w:bCs/>
        </w:rPr>
        <w:t>Alternative Strike Analysis: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1"/>
        <w:gridCol w:w="2421"/>
        <w:gridCol w:w="1410"/>
      </w:tblGrid>
      <w:tr w:rsidR="00914C8F" w14:paraId="59BF0319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354AEF" w14:textId="77777777" w:rsidR="00914C8F" w:rsidRDefault="00000000">
            <w:pPr>
              <w:pStyle w:val="Compact"/>
            </w:pPr>
            <w:r>
              <w:t>Strike</w:t>
            </w:r>
          </w:p>
        </w:tc>
        <w:tc>
          <w:tcPr>
            <w:tcW w:w="0" w:type="auto"/>
          </w:tcPr>
          <w:p w14:paraId="3B8895A8" w14:textId="77777777" w:rsidR="00914C8F" w:rsidRDefault="00000000">
            <w:pPr>
              <w:pStyle w:val="Compact"/>
            </w:pPr>
            <w:r>
              <w:t>Forward Relationship</w:t>
            </w:r>
          </w:p>
        </w:tc>
        <w:tc>
          <w:tcPr>
            <w:tcW w:w="0" w:type="auto"/>
          </w:tcPr>
          <w:p w14:paraId="01E217FD" w14:textId="77777777" w:rsidR="00914C8F" w:rsidRDefault="00000000">
            <w:pPr>
              <w:pStyle w:val="Compact"/>
            </w:pPr>
            <w:r>
              <w:t>Z Group PV</w:t>
            </w:r>
          </w:p>
        </w:tc>
      </w:tr>
      <w:tr w:rsidR="00914C8F" w14:paraId="335636B9" w14:textId="77777777">
        <w:tc>
          <w:tcPr>
            <w:tcW w:w="0" w:type="auto"/>
          </w:tcPr>
          <w:p w14:paraId="0FE6CD26" w14:textId="77777777" w:rsidR="00914C8F" w:rsidRDefault="00000000">
            <w:pPr>
              <w:pStyle w:val="Compact"/>
            </w:pPr>
            <w:r>
              <w:t>USD 2,800</w:t>
            </w:r>
          </w:p>
        </w:tc>
        <w:tc>
          <w:tcPr>
            <w:tcW w:w="0" w:type="auto"/>
          </w:tcPr>
          <w:p w14:paraId="2458E6F9" w14:textId="77777777" w:rsidR="00914C8F" w:rsidRDefault="00000000">
            <w:pPr>
              <w:pStyle w:val="Compact"/>
            </w:pPr>
            <w:r>
              <w:t>6% below forward</w:t>
            </w:r>
          </w:p>
        </w:tc>
        <w:tc>
          <w:tcPr>
            <w:tcW w:w="0" w:type="auto"/>
          </w:tcPr>
          <w:p w14:paraId="01A1B2D5" w14:textId="77777777" w:rsidR="00914C8F" w:rsidRDefault="00000000">
            <w:pPr>
              <w:pStyle w:val="Compact"/>
            </w:pPr>
            <w:r>
              <w:t>EUR +2M</w:t>
            </w:r>
          </w:p>
        </w:tc>
      </w:tr>
      <w:tr w:rsidR="00914C8F" w14:paraId="2D22CD73" w14:textId="77777777">
        <w:tc>
          <w:tcPr>
            <w:tcW w:w="0" w:type="auto"/>
          </w:tcPr>
          <w:p w14:paraId="0D7E2A88" w14:textId="77777777" w:rsidR="00914C8F" w:rsidRDefault="00000000">
            <w:pPr>
              <w:pStyle w:val="Compact"/>
            </w:pPr>
            <w:r>
              <w:t>USD 3,000</w:t>
            </w:r>
          </w:p>
        </w:tc>
        <w:tc>
          <w:tcPr>
            <w:tcW w:w="0" w:type="auto"/>
          </w:tcPr>
          <w:p w14:paraId="3C3261C9" w14:textId="77777777" w:rsidR="00914C8F" w:rsidRDefault="00000000">
            <w:pPr>
              <w:pStyle w:val="Compact"/>
            </w:pPr>
            <w:r>
              <w:t>At-the-money</w:t>
            </w:r>
          </w:p>
        </w:tc>
        <w:tc>
          <w:tcPr>
            <w:tcW w:w="0" w:type="auto"/>
          </w:tcPr>
          <w:p w14:paraId="73DE2AF4" w14:textId="77777777" w:rsidR="00914C8F" w:rsidRDefault="00000000">
            <w:pPr>
              <w:pStyle w:val="Compact"/>
            </w:pPr>
            <w:r>
              <w:t>EUR −31M</w:t>
            </w:r>
          </w:p>
        </w:tc>
      </w:tr>
      <w:tr w:rsidR="00914C8F" w14:paraId="29A716C1" w14:textId="77777777">
        <w:tc>
          <w:tcPr>
            <w:tcW w:w="0" w:type="auto"/>
          </w:tcPr>
          <w:p w14:paraId="2B308387" w14:textId="77777777" w:rsidR="00914C8F" w:rsidRDefault="00000000">
            <w:pPr>
              <w:pStyle w:val="Compact"/>
            </w:pPr>
            <w:r>
              <w:t>USD 3,500</w:t>
            </w:r>
          </w:p>
        </w:tc>
        <w:tc>
          <w:tcPr>
            <w:tcW w:w="0" w:type="auto"/>
          </w:tcPr>
          <w:p w14:paraId="7F32A835" w14:textId="77777777" w:rsidR="00914C8F" w:rsidRDefault="00000000">
            <w:pPr>
              <w:pStyle w:val="Compact"/>
            </w:pPr>
            <w:r>
              <w:t>17% above forward</w:t>
            </w:r>
          </w:p>
        </w:tc>
        <w:tc>
          <w:tcPr>
            <w:tcW w:w="0" w:type="auto"/>
          </w:tcPr>
          <w:p w14:paraId="556BF51C" w14:textId="77777777" w:rsidR="00914C8F" w:rsidRDefault="00000000">
            <w:pPr>
              <w:pStyle w:val="Compact"/>
            </w:pPr>
            <w:r>
              <w:t>EUR −97M</w:t>
            </w:r>
          </w:p>
        </w:tc>
      </w:tr>
      <w:tr w:rsidR="00914C8F" w14:paraId="1F7F811E" w14:textId="77777777">
        <w:tc>
          <w:tcPr>
            <w:tcW w:w="0" w:type="auto"/>
          </w:tcPr>
          <w:p w14:paraId="0A20ACF4" w14:textId="77777777" w:rsidR="00914C8F" w:rsidRDefault="00000000">
            <w:pPr>
              <w:pStyle w:val="Compact"/>
            </w:pPr>
            <w:r>
              <w:t>USD 4,600</w:t>
            </w:r>
          </w:p>
        </w:tc>
        <w:tc>
          <w:tcPr>
            <w:tcW w:w="0" w:type="auto"/>
          </w:tcPr>
          <w:p w14:paraId="2297C105" w14:textId="77777777" w:rsidR="00914C8F" w:rsidRDefault="00000000">
            <w:pPr>
              <w:pStyle w:val="Compact"/>
            </w:pPr>
            <w:r>
              <w:t>54% above forward</w:t>
            </w:r>
          </w:p>
        </w:tc>
        <w:tc>
          <w:tcPr>
            <w:tcW w:w="0" w:type="auto"/>
          </w:tcPr>
          <w:p w14:paraId="32D48F05" w14:textId="77777777" w:rsidR="00914C8F" w:rsidRDefault="00000000">
            <w:pPr>
              <w:pStyle w:val="Compact"/>
            </w:pPr>
            <w:r>
              <w:t>EUR −192M</w:t>
            </w:r>
          </w:p>
        </w:tc>
      </w:tr>
    </w:tbl>
    <w:p>
      <w:pPr>
        <w:jc w:val="center"/>
        <w:spacing w:before="200" w:after="100"/>
      </w:pPr>
      <w:r>
        <w:rPr>
          <w:b/>
          <w:sz w:val="20"/>
          <w:szCs w:val="20"/>
        </w:rPr>
        <w:t>Figure 3: Strike Price Sensitivity — Z Group valuation across alternative strike levels</w:t>
      </w:r>
    </w:p>
    <w:p w14:paraId="454CCE52" w14:textId="77777777" w:rsidR="00D0531A" w:rsidRDefault="00D0531A" w:rsidP="005A3702">
      <w:pPr>
        <w:rPr>
          <w:rStyle w:val="SectionNumber"/>
        </w:rPr>
      </w:pPr>
      <w:bookmarkStart w:id="34" w:name="barrier-configuration"/>
      <w:bookmarkEnd w:id="32"/>
      <w:r w:rsidRPr="005A3702">
        <w:lastRenderedPageBreak/>
        <w:drawing>
          <wp:inline distT="0" distB="0" distL="0" distR="0" wp14:anchorId="1EE3018D" wp14:editId="212F1ABE">
            <wp:extent cx="5943600" cy="2084705"/>
            <wp:effectExtent l="0" t="0" r="0" b="0"/>
            <wp:docPr id="2121635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5081" name="Picture 2121635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1EEC" w14:textId="77777777" w:rsidR="005A3702" w:rsidRDefault="005A3702" w:rsidP="005A3702">
      <w:pPr>
        <w:rPr>
          <w:rStyle w:val="SectionNumber"/>
          <w:rFonts w:hint="eastAsia"/>
        </w:rPr>
      </w:pPr>
    </w:p>
    <w:p w14:paraId="1ECE519F" w14:textId="526344A2" w:rsidR="00914C8F" w:rsidRDefault="00000000">
      <w:pPr>
        <w:pStyle w:val="Heading2"/>
      </w:pPr>
      <w:bookmarkStart w:id="35" w:name="_Toc219839006"/>
      <w:r>
        <w:rPr>
          <w:rStyle w:val="SectionNumber"/>
        </w:rPr>
        <w:t>6.2</w:t>
      </w:r>
      <w:r>
        <w:tab/>
        <w:t>Barrier Configuration</w:t>
      </w:r>
      <w:bookmarkEnd w:id="35"/>
    </w:p>
    <w:p w14:paraId="6C1DFBBA" w14:textId="77777777" w:rsidR="00914C8F" w:rsidRDefault="00000000">
      <w:pPr>
        <w:pStyle w:val="FirstParagraph"/>
      </w:pPr>
      <w:r>
        <w:t>The lower barrier at 1.05 sits only 2.8% below current spot:</w:t>
      </w:r>
    </w:p>
    <w:p w14:paraId="554F0CE6" w14:textId="77777777" w:rsidR="00914C8F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Distance to Lower Barrier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1.05</m:t>
              </m:r>
            </m:num>
            <m:den>
              <m:r>
                <w:rPr>
                  <w:rFonts w:ascii="Cambria Math" w:hAnsi="Cambria Math"/>
                </w:rPr>
                <m:t>1.08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2.78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54AEB6D5" w14:textId="77777777" w:rsidR="00914C8F" w:rsidRDefault="00000000">
      <w:pPr>
        <w:pStyle w:val="FirstParagraph"/>
      </w:pPr>
      <w:r>
        <w:t>Given 8% annual EUR/USD volatility and negative drift, barrier breach is near-certain over a two-year horizon.</w:t>
      </w:r>
    </w:p>
    <w:p w14:paraId="4DA8FD11" w14:textId="77777777" w:rsidR="00914C8F" w:rsidRDefault="00000000">
      <w:pPr>
        <w:pStyle w:val="BodyText"/>
      </w:pPr>
      <w:r>
        <w:rPr>
          <w:b/>
          <w:bCs/>
        </w:rPr>
        <w:t>Alternative Configurations: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1"/>
        <w:gridCol w:w="1855"/>
        <w:gridCol w:w="2137"/>
      </w:tblGrid>
      <w:tr w:rsidR="00914C8F" w14:paraId="2C6395B9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016065" w14:textId="77777777" w:rsidR="00914C8F" w:rsidRDefault="00000000">
            <w:pPr>
              <w:pStyle w:val="Compact"/>
            </w:pPr>
            <w:r>
              <w:t>Corridor</w:t>
            </w:r>
          </w:p>
        </w:tc>
        <w:tc>
          <w:tcPr>
            <w:tcW w:w="0" w:type="auto"/>
          </w:tcPr>
          <w:p w14:paraId="3ADC001F" w14:textId="77777777" w:rsidR="00914C8F" w:rsidRDefault="00000000">
            <w:pPr>
              <w:pStyle w:val="Compact"/>
            </w:pPr>
            <w:r>
              <w:t>Knock-Out Rate</w:t>
            </w:r>
          </w:p>
        </w:tc>
        <w:tc>
          <w:tcPr>
            <w:tcW w:w="0" w:type="auto"/>
          </w:tcPr>
          <w:p w14:paraId="24FD81A6" w14:textId="77777777" w:rsidR="00914C8F" w:rsidRDefault="00000000">
            <w:pPr>
              <w:pStyle w:val="Compact"/>
            </w:pPr>
            <w:r>
              <w:t>Expected Duration</w:t>
            </w:r>
          </w:p>
        </w:tc>
      </w:tr>
      <w:tr w:rsidR="00914C8F" w14:paraId="60A29AE4" w14:textId="77777777">
        <w:tc>
          <w:tcPr>
            <w:tcW w:w="0" w:type="auto"/>
          </w:tcPr>
          <w:p w14:paraId="03739A93" w14:textId="77777777" w:rsidR="00914C8F" w:rsidRDefault="00000000">
            <w:pPr>
              <w:pStyle w:val="Compact"/>
            </w:pPr>
            <w:r>
              <w:t>[1.05, 1.25]</w:t>
            </w:r>
          </w:p>
        </w:tc>
        <w:tc>
          <w:tcPr>
            <w:tcW w:w="0" w:type="auto"/>
          </w:tcPr>
          <w:p w14:paraId="04FDAE02" w14:textId="77777777" w:rsidR="00914C8F" w:rsidRDefault="00000000">
            <w:pPr>
              <w:pStyle w:val="Compact"/>
            </w:pPr>
            <w:r>
              <w:t>93%</w:t>
            </w:r>
          </w:p>
        </w:tc>
        <w:tc>
          <w:tcPr>
            <w:tcW w:w="0" w:type="auto"/>
          </w:tcPr>
          <w:p w14:paraId="13092379" w14:textId="77777777" w:rsidR="00914C8F" w:rsidRDefault="00000000">
            <w:pPr>
              <w:pStyle w:val="Compact"/>
            </w:pPr>
            <w:r>
              <w:t>5 months</w:t>
            </w:r>
          </w:p>
        </w:tc>
      </w:tr>
      <w:tr w:rsidR="00914C8F" w14:paraId="182BFC8A" w14:textId="77777777">
        <w:tc>
          <w:tcPr>
            <w:tcW w:w="0" w:type="auto"/>
          </w:tcPr>
          <w:p w14:paraId="591D1709" w14:textId="77777777" w:rsidR="00914C8F" w:rsidRDefault="00000000">
            <w:pPr>
              <w:pStyle w:val="Compact"/>
            </w:pPr>
            <w:r>
              <w:t>[1.00, 1.30]</w:t>
            </w:r>
          </w:p>
        </w:tc>
        <w:tc>
          <w:tcPr>
            <w:tcW w:w="0" w:type="auto"/>
          </w:tcPr>
          <w:p w14:paraId="4C0997EC" w14:textId="77777777" w:rsidR="00914C8F" w:rsidRDefault="00000000">
            <w:pPr>
              <w:pStyle w:val="Compact"/>
            </w:pPr>
            <w:r>
              <w:t>66%</w:t>
            </w:r>
          </w:p>
        </w:tc>
        <w:tc>
          <w:tcPr>
            <w:tcW w:w="0" w:type="auto"/>
          </w:tcPr>
          <w:p w14:paraId="271628E7" w14:textId="77777777" w:rsidR="00914C8F" w:rsidRDefault="00000000">
            <w:pPr>
              <w:pStyle w:val="Compact"/>
            </w:pPr>
            <w:r>
              <w:t>10 months</w:t>
            </w:r>
          </w:p>
        </w:tc>
      </w:tr>
      <w:tr w:rsidR="00914C8F" w14:paraId="7C62FD36" w14:textId="77777777">
        <w:tc>
          <w:tcPr>
            <w:tcW w:w="0" w:type="auto"/>
          </w:tcPr>
          <w:p w14:paraId="6A83ECB5" w14:textId="77777777" w:rsidR="00914C8F" w:rsidRDefault="00000000">
            <w:pPr>
              <w:pStyle w:val="Compact"/>
            </w:pPr>
            <w:r>
              <w:t>[0.95, 1.35]</w:t>
            </w:r>
          </w:p>
        </w:tc>
        <w:tc>
          <w:tcPr>
            <w:tcW w:w="0" w:type="auto"/>
          </w:tcPr>
          <w:p w14:paraId="621CCCE5" w14:textId="77777777" w:rsidR="00914C8F" w:rsidRDefault="00000000">
            <w:pPr>
              <w:pStyle w:val="Compact"/>
            </w:pPr>
            <w:r>
              <w:t>39%</w:t>
            </w:r>
          </w:p>
        </w:tc>
        <w:tc>
          <w:tcPr>
            <w:tcW w:w="0" w:type="auto"/>
          </w:tcPr>
          <w:p w14:paraId="05ED51AD" w14:textId="77777777" w:rsidR="00914C8F" w:rsidRDefault="00000000">
            <w:pPr>
              <w:pStyle w:val="Compact"/>
            </w:pPr>
            <w:r>
              <w:t>14 months</w:t>
            </w:r>
          </w:p>
        </w:tc>
      </w:tr>
    </w:tbl>
    <w:p>
      <w:pPr>
        <w:jc w:val="center"/>
        <w:spacing w:before="200" w:after="100"/>
      </w:pPr>
      <w:r>
        <w:rPr>
          <w:b/>
          <w:sz w:val="20"/>
          <w:szCs w:val="20"/>
        </w:rPr>
        <w:t>Figure 4: Barrier Configuration Analysis — Knock-out probability for different corridor widths</w:t>
      </w:r>
    </w:p>
    <w:p w14:paraId="14B1A59A" w14:textId="77777777" w:rsidR="00D0531A" w:rsidRDefault="00D0531A" w:rsidP="005A3702">
      <w:pPr>
        <w:rPr>
          <w:rStyle w:val="SectionNumber"/>
        </w:rPr>
      </w:pPr>
      <w:bookmarkStart w:id="36" w:name="risk-sensitivities"/>
      <w:bookmarkEnd w:id="30"/>
      <w:bookmarkEnd w:id="34"/>
      <w:r w:rsidRPr="005A3702">
        <w:drawing>
          <wp:inline distT="0" distB="0" distL="0" distR="0" wp14:anchorId="386409D3" wp14:editId="55FE8B34">
            <wp:extent cx="5943600" cy="2084705"/>
            <wp:effectExtent l="0" t="0" r="0" b="0"/>
            <wp:docPr id="759625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5873" name="Picture 7596258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5BA1" w14:textId="27236A4C" w:rsidR="00914C8F" w:rsidRDefault="00000000">
      <w:pPr>
        <w:pStyle w:val="Heading1"/>
      </w:pPr>
      <w:bookmarkStart w:id="37" w:name="_Toc219839007"/>
      <w:r>
        <w:rPr>
          <w:rStyle w:val="SectionNumber"/>
        </w:rPr>
        <w:lastRenderedPageBreak/>
        <w:t>7</w:t>
      </w:r>
      <w:r>
        <w:tab/>
        <w:t>Risk Sensitivities</w:t>
      </w:r>
      <w:bookmarkEnd w:id="37"/>
    </w:p>
    <w:p w14:paraId="40D9DA93" w14:textId="70695C54" w:rsidR="00914C8F" w:rsidRDefault="00000000">
      <w:pPr>
        <w:pStyle w:val="Heading2"/>
      </w:pPr>
      <w:bookmarkStart w:id="38" w:name="greeks-summary"/>
      <w:bookmarkStart w:id="39" w:name="_Toc219839008"/>
      <w:r>
        <w:rPr>
          <w:rStyle w:val="SectionNumber"/>
        </w:rPr>
        <w:t>7.1</w:t>
      </w:r>
      <w:r>
        <w:tab/>
        <w:t>Greeks Summary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2234"/>
        <w:gridCol w:w="5107"/>
      </w:tblGrid>
      <w:tr w:rsidR="00914C8F" w14:paraId="5889CD86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00A2FDE4" w14:textId="77777777" w:rsidR="00914C8F" w:rsidRDefault="00000000">
            <w:pPr>
              <w:pStyle w:val="Compact"/>
            </w:pPr>
            <w:r>
              <w:t>Greek</w:t>
            </w:r>
          </w:p>
        </w:tc>
        <w:tc>
          <w:tcPr>
            <w:tcW w:w="1848" w:type="dxa"/>
          </w:tcPr>
          <w:p w14:paraId="07F2C80F" w14:textId="77777777" w:rsidR="00914C8F" w:rsidRDefault="00000000">
            <w:pPr>
              <w:pStyle w:val="Compact"/>
            </w:pPr>
            <w:r>
              <w:t>Value</w:t>
            </w:r>
          </w:p>
        </w:tc>
        <w:tc>
          <w:tcPr>
            <w:tcW w:w="4224" w:type="dxa"/>
          </w:tcPr>
          <w:p w14:paraId="07F18BB8" w14:textId="77777777" w:rsidR="00914C8F" w:rsidRDefault="00000000">
            <w:pPr>
              <w:pStyle w:val="Compact"/>
            </w:pPr>
            <w:r>
              <w:t>Interpretation</w:t>
            </w:r>
          </w:p>
        </w:tc>
      </w:tr>
      <w:tr w:rsidR="00914C8F" w14:paraId="6761B87E" w14:textId="77777777">
        <w:tc>
          <w:tcPr>
            <w:tcW w:w="1848" w:type="dxa"/>
          </w:tcPr>
          <w:p w14:paraId="399E6E4D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gold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0DFA4F53" w14:textId="77777777" w:rsidR="00914C8F" w:rsidRDefault="00000000">
            <w:pPr>
              <w:pStyle w:val="Compact"/>
            </w:pPr>
            <w:r>
              <w:t>EUR 109,545 per USD 1</w:t>
            </w:r>
          </w:p>
        </w:tc>
        <w:tc>
          <w:tcPr>
            <w:tcW w:w="4224" w:type="dxa"/>
          </w:tcPr>
          <w:p w14:paraId="56C1E457" w14:textId="77777777" w:rsidR="00914C8F" w:rsidRDefault="00000000">
            <w:pPr>
              <w:pStyle w:val="Compact"/>
            </w:pPr>
            <w:r>
              <w:t>First-order gold sensitivity</w:t>
            </w:r>
          </w:p>
        </w:tc>
      </w:tr>
      <w:tr w:rsidR="00914C8F" w14:paraId="0BF5B7F0" w14:textId="77777777">
        <w:tc>
          <w:tcPr>
            <w:tcW w:w="1848" w:type="dxa"/>
          </w:tcPr>
          <w:p w14:paraId="2AEFA047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gold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45E489DA" w14:textId="77777777" w:rsidR="00914C8F" w:rsidRDefault="00000000">
            <w:pPr>
              <w:pStyle w:val="Compact"/>
            </w:pPr>
            <w:r>
              <w:t>EUR −491</w:t>
            </w:r>
          </w:p>
        </w:tc>
        <w:tc>
          <w:tcPr>
            <w:tcW w:w="4224" w:type="dxa"/>
          </w:tcPr>
          <w:p w14:paraId="6B8943AA" w14:textId="77777777" w:rsidR="00914C8F" w:rsidRDefault="00000000">
            <w:pPr>
              <w:pStyle w:val="Compact"/>
            </w:pPr>
            <w:r>
              <w:t>Gold convexity</w:t>
            </w:r>
          </w:p>
        </w:tc>
      </w:tr>
      <w:tr w:rsidR="00914C8F" w14:paraId="524A347E" w14:textId="77777777">
        <w:tc>
          <w:tcPr>
            <w:tcW w:w="1848" w:type="dxa"/>
          </w:tcPr>
          <w:p w14:paraId="6C9E2A4E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FX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0AC9F46A" w14:textId="77777777" w:rsidR="00914C8F" w:rsidRDefault="00000000">
            <w:pPr>
              <w:pStyle w:val="Compact"/>
            </w:pPr>
            <w:r>
              <w:t>EUR 2.26M per 0.01 FX</w:t>
            </w:r>
          </w:p>
        </w:tc>
        <w:tc>
          <w:tcPr>
            <w:tcW w:w="4224" w:type="dxa"/>
          </w:tcPr>
          <w:p w14:paraId="00B24693" w14:textId="77777777" w:rsidR="00914C8F" w:rsidRDefault="00000000">
            <w:pPr>
              <w:pStyle w:val="Compact"/>
            </w:pPr>
            <w:r>
              <w:t>EUR/USD sensitivity</w:t>
            </w:r>
          </w:p>
        </w:tc>
      </w:tr>
      <w:tr w:rsidR="00914C8F" w14:paraId="3569E4DB" w14:textId="77777777">
        <w:tc>
          <w:tcPr>
            <w:tcW w:w="1848" w:type="dxa"/>
          </w:tcPr>
          <w:p w14:paraId="03CC9D5F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gold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5BBDEB0D" w14:textId="77777777" w:rsidR="00914C8F" w:rsidRDefault="00000000">
            <w:pPr>
              <w:pStyle w:val="Compact"/>
            </w:pPr>
            <w:r>
              <w:t>EUR −691K per 1% vol</w:t>
            </w:r>
          </w:p>
        </w:tc>
        <w:tc>
          <w:tcPr>
            <w:tcW w:w="4224" w:type="dxa"/>
          </w:tcPr>
          <w:p w14:paraId="1FEF2BA4" w14:textId="77777777" w:rsidR="00914C8F" w:rsidRDefault="00000000">
            <w:pPr>
              <w:pStyle w:val="Compact"/>
            </w:pPr>
            <w:r>
              <w:t>Gold vega</w:t>
            </w:r>
          </w:p>
        </w:tc>
      </w:tr>
      <w:tr w:rsidR="00914C8F" w14:paraId="060B4C3A" w14:textId="77777777">
        <w:tc>
          <w:tcPr>
            <w:tcW w:w="1848" w:type="dxa"/>
          </w:tcPr>
          <w:p w14:paraId="3A7D7AD4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EUR</m:t>
                    </m:r>
                  </m:sub>
                </m:sSub>
              </m:oMath>
            </m:oMathPara>
          </w:p>
        </w:tc>
        <w:tc>
          <w:tcPr>
            <w:tcW w:w="1848" w:type="dxa"/>
          </w:tcPr>
          <w:p w14:paraId="7ADDE59D" w14:textId="77777777" w:rsidR="00914C8F" w:rsidRDefault="00000000">
            <w:pPr>
              <w:pStyle w:val="Compact"/>
            </w:pPr>
            <w:r>
              <w:t>EUR −11.7M per 1bp</w:t>
            </w:r>
          </w:p>
        </w:tc>
        <w:tc>
          <w:tcPr>
            <w:tcW w:w="4224" w:type="dxa"/>
          </w:tcPr>
          <w:p w14:paraId="2DBEA6A1" w14:textId="77777777" w:rsidR="00914C8F" w:rsidRDefault="00000000">
            <w:pPr>
              <w:pStyle w:val="Compact"/>
            </w:pPr>
            <w:r>
              <w:t>EUR rate sensitivity</w:t>
            </w:r>
          </w:p>
        </w:tc>
      </w:tr>
    </w:tbl>
    <w:p>
      <w:pPr>
        <w:jc w:val="center"/>
        <w:spacing w:before="200" w:after="100"/>
      </w:pPr>
      <w:r>
        <w:rPr>
          <w:b/>
          <w:sz w:val="20"/>
          <w:szCs w:val="20"/>
        </w:rPr>
        <w:t>Figure 5: Risk Sensitivities (Greeks) — Key hedging parameters on logarithmic scale</w:t>
      </w:r>
    </w:p>
    <w:p w14:paraId="6A8F87CF" w14:textId="77777777" w:rsidR="00D0531A" w:rsidRDefault="00D0531A" w:rsidP="005A3702">
      <w:pPr>
        <w:rPr>
          <w:rStyle w:val="SectionNumber"/>
        </w:rPr>
      </w:pPr>
      <w:bookmarkStart w:id="40" w:name="hedging-implications"/>
      <w:bookmarkEnd w:id="38"/>
      <w:r w:rsidRPr="005A3702">
        <w:drawing>
          <wp:inline distT="0" distB="0" distL="0" distR="0" wp14:anchorId="5928BAE4" wp14:editId="165BACBD">
            <wp:extent cx="5943600" cy="2940685"/>
            <wp:effectExtent l="0" t="0" r="0" b="0"/>
            <wp:docPr id="838527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27417" name="Picture 838527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75C7" w14:textId="77777777" w:rsidR="005A3702" w:rsidRPr="005A3702" w:rsidRDefault="005A3702" w:rsidP="005A3702">
      <w:pPr>
        <w:pStyle w:val="BodyText"/>
        <w:rPr>
          <w:rFonts w:hint="eastAsia"/>
        </w:rPr>
      </w:pPr>
    </w:p>
    <w:p w14:paraId="6A0FDD24" w14:textId="12268380" w:rsidR="00914C8F" w:rsidRDefault="00000000">
      <w:pPr>
        <w:pStyle w:val="Heading2"/>
      </w:pPr>
      <w:bookmarkStart w:id="41" w:name="_Toc219839009"/>
      <w:r>
        <w:rPr>
          <w:rStyle w:val="SectionNumber"/>
        </w:rPr>
        <w:t>7.2</w:t>
      </w:r>
      <w:r>
        <w:tab/>
        <w:t>Hedging Implications</w:t>
      </w:r>
      <w:bookmarkEnd w:id="41"/>
    </w:p>
    <w:p w14:paraId="7DA38FDB" w14:textId="77777777" w:rsidR="00914C8F" w:rsidRDefault="00000000">
      <w:pPr>
        <w:pStyle w:val="FirstParagraph"/>
      </w:pPr>
      <w:r>
        <w:rPr>
          <w:b/>
          <w:bCs/>
        </w:rPr>
        <w:t>Delta Hedging:</w:t>
      </w:r>
      <w:r>
        <w:t xml:space="preserve"> The gold delta of EUR 110K per dollar implies a hedge ratio of approximately:</w:t>
      </w:r>
    </w:p>
    <w:p w14:paraId="06D2C657" w14:textId="77777777" w:rsidR="00914C8F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Gold Hedge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gold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545</m:t>
              </m:r>
            </m:num>
            <m:den>
              <m:r>
                <w:rPr>
                  <w:rFonts w:ascii="Cambria Math" w:hAnsi="Cambria Math"/>
                </w:rPr>
                <m:t>2750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4600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183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 xml:space="preserve"> oz</m:t>
          </m:r>
        </m:oMath>
      </m:oMathPara>
    </w:p>
    <w:p w14:paraId="5F0F9BCB" w14:textId="77777777" w:rsidR="00914C8F" w:rsidRDefault="00000000">
      <w:pPr>
        <w:pStyle w:val="FirstParagraph"/>
      </w:pPr>
      <w:r>
        <w:rPr>
          <w:b/>
          <w:bCs/>
        </w:rPr>
        <w:t>Barrier Risk:</w:t>
      </w:r>
      <w:r>
        <w:t xml:space="preserve"> As EUR/USD approaches either barrier, gamma and delta become increasingly unstable—the characteristic “pin risk” of barrier options. Hedging costs will escalate significantly in the final days before a potential knock-out.</w:t>
      </w:r>
    </w:p>
    <w:p w14:paraId="74D8B0AE" w14:textId="4977EBEF" w:rsidR="00914C8F" w:rsidRDefault="00000000">
      <w:pPr>
        <w:pStyle w:val="Heading1"/>
      </w:pPr>
      <w:bookmarkStart w:id="42" w:name="model-validation"/>
      <w:bookmarkStart w:id="43" w:name="_Toc219839010"/>
      <w:bookmarkEnd w:id="36"/>
      <w:bookmarkEnd w:id="40"/>
      <w:r>
        <w:rPr>
          <w:rStyle w:val="SectionNumber"/>
        </w:rPr>
        <w:lastRenderedPageBreak/>
        <w:t>8</w:t>
      </w:r>
      <w:r>
        <w:tab/>
        <w:t>Model Validation</w:t>
      </w:r>
      <w:bookmarkEnd w:id="43"/>
    </w:p>
    <w:p w14:paraId="37FEFFAB" w14:textId="3BD56606" w:rsidR="00914C8F" w:rsidRDefault="00000000">
      <w:pPr>
        <w:pStyle w:val="Heading2"/>
      </w:pPr>
      <w:bookmarkStart w:id="44" w:name="alternative-specifications"/>
      <w:bookmarkStart w:id="45" w:name="_Toc219839011"/>
      <w:r>
        <w:rPr>
          <w:rStyle w:val="SectionNumber"/>
        </w:rPr>
        <w:t>8.1</w:t>
      </w:r>
      <w:r>
        <w:tab/>
        <w:t>Alternative Specifications</w:t>
      </w:r>
      <w:bookmarkEnd w:id="45"/>
    </w:p>
    <w:p w14:paraId="4CA311B8" w14:textId="77777777" w:rsidR="00914C8F" w:rsidRDefault="00000000">
      <w:pPr>
        <w:pStyle w:val="FirstParagraph"/>
      </w:pPr>
      <w:r>
        <w:t>To ensure robustness, we compared valuations across three model specifications: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8"/>
        <w:gridCol w:w="1607"/>
        <w:gridCol w:w="1855"/>
      </w:tblGrid>
      <w:tr w:rsidR="00914C8F" w14:paraId="19A7BC30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EBAE71" w14:textId="77777777" w:rsidR="00914C8F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3A8FDC6C" w14:textId="77777777" w:rsidR="00914C8F" w:rsidRDefault="00000000">
            <w:pPr>
              <w:pStyle w:val="Compact"/>
            </w:pPr>
            <w:r>
              <w:t>Z Group PV</w:t>
            </w:r>
          </w:p>
        </w:tc>
        <w:tc>
          <w:tcPr>
            <w:tcW w:w="0" w:type="auto"/>
          </w:tcPr>
          <w:p w14:paraId="3C07FDFE" w14:textId="77777777" w:rsidR="00914C8F" w:rsidRDefault="00000000">
            <w:pPr>
              <w:pStyle w:val="Compact"/>
            </w:pPr>
            <w:r>
              <w:t>Knock-Out Rate</w:t>
            </w:r>
          </w:p>
        </w:tc>
      </w:tr>
      <w:tr w:rsidR="00914C8F" w14:paraId="5626E576" w14:textId="77777777">
        <w:tc>
          <w:tcPr>
            <w:tcW w:w="0" w:type="auto"/>
          </w:tcPr>
          <w:p w14:paraId="52EB38C8" w14:textId="77777777" w:rsidR="00914C8F" w:rsidRDefault="00000000">
            <w:pPr>
              <w:pStyle w:val="Compact"/>
            </w:pPr>
            <w:r>
              <w:t>Base GBM</w:t>
            </w:r>
          </w:p>
        </w:tc>
        <w:tc>
          <w:tcPr>
            <w:tcW w:w="0" w:type="auto"/>
          </w:tcPr>
          <w:p w14:paraId="24EE251A" w14:textId="77777777" w:rsidR="00914C8F" w:rsidRDefault="00000000">
            <w:pPr>
              <w:pStyle w:val="Compact"/>
            </w:pPr>
            <w:r>
              <w:t>EUR −192.1M</w:t>
            </w:r>
          </w:p>
        </w:tc>
        <w:tc>
          <w:tcPr>
            <w:tcW w:w="0" w:type="auto"/>
          </w:tcPr>
          <w:p w14:paraId="5F12251E" w14:textId="77777777" w:rsidR="00914C8F" w:rsidRDefault="00000000">
            <w:pPr>
              <w:pStyle w:val="Compact"/>
            </w:pPr>
            <w:r>
              <w:t>92.9%</w:t>
            </w:r>
          </w:p>
        </w:tc>
      </w:tr>
      <w:tr w:rsidR="00914C8F" w14:paraId="73C15386" w14:textId="77777777">
        <w:tc>
          <w:tcPr>
            <w:tcW w:w="0" w:type="auto"/>
          </w:tcPr>
          <w:p w14:paraId="2D3DB97C" w14:textId="77777777" w:rsidR="00914C8F" w:rsidRDefault="00000000">
            <w:pPr>
              <w:pStyle w:val="Compact"/>
            </w:pPr>
            <w:r>
              <w:t>Heston Stochastic Vol</w:t>
            </w:r>
          </w:p>
        </w:tc>
        <w:tc>
          <w:tcPr>
            <w:tcW w:w="0" w:type="auto"/>
          </w:tcPr>
          <w:p w14:paraId="340186D1" w14:textId="77777777" w:rsidR="00914C8F" w:rsidRDefault="00000000">
            <w:pPr>
              <w:pStyle w:val="Compact"/>
            </w:pPr>
            <w:r>
              <w:t>EUR −191.8M</w:t>
            </w:r>
          </w:p>
        </w:tc>
        <w:tc>
          <w:tcPr>
            <w:tcW w:w="0" w:type="auto"/>
          </w:tcPr>
          <w:p w14:paraId="399DBF51" w14:textId="77777777" w:rsidR="00914C8F" w:rsidRDefault="00000000">
            <w:pPr>
              <w:pStyle w:val="Compact"/>
            </w:pPr>
            <w:r>
              <w:t>93.0%</w:t>
            </w:r>
          </w:p>
        </w:tc>
      </w:tr>
      <w:tr w:rsidR="00914C8F" w14:paraId="12A03D7D" w14:textId="77777777">
        <w:tc>
          <w:tcPr>
            <w:tcW w:w="0" w:type="auto"/>
          </w:tcPr>
          <w:p w14:paraId="5AAE385C" w14:textId="77777777" w:rsidR="00914C8F" w:rsidRDefault="00000000">
            <w:pPr>
              <w:pStyle w:val="Compact"/>
            </w:pPr>
            <w:r>
              <w:t>Merton Jump-Diffusion</w:t>
            </w:r>
          </w:p>
        </w:tc>
        <w:tc>
          <w:tcPr>
            <w:tcW w:w="0" w:type="auto"/>
          </w:tcPr>
          <w:p w14:paraId="68B504D9" w14:textId="77777777" w:rsidR="00914C8F" w:rsidRDefault="00000000">
            <w:pPr>
              <w:pStyle w:val="Compact"/>
            </w:pPr>
            <w:r>
              <w:t>EUR −191.7M</w:t>
            </w:r>
          </w:p>
        </w:tc>
        <w:tc>
          <w:tcPr>
            <w:tcW w:w="0" w:type="auto"/>
          </w:tcPr>
          <w:p w14:paraId="0387FA76" w14:textId="77777777" w:rsidR="00914C8F" w:rsidRDefault="00000000">
            <w:pPr>
              <w:pStyle w:val="Compact"/>
            </w:pPr>
            <w:r>
              <w:t>93.0%</w:t>
            </w:r>
          </w:p>
        </w:tc>
      </w:tr>
    </w:tbl>
    <w:p w14:paraId="286395DD" w14:textId="77777777" w:rsidR="00914C8F" w:rsidRDefault="00000000">
      <w:pPr>
        <w:pStyle w:val="BodyText"/>
      </w:pPr>
      <w:r>
        <w:t>All models converge within 0.2%, confirming that the barrier structure dominates pricing dynamics. Model specification risk is secondary.</w:t>
      </w:r>
    </w:p>
    <w:p>
      <w:pPr>
        <w:jc w:val="center"/>
        <w:spacing w:before="200" w:after="100"/>
      </w:pPr>
      <w:r>
        <w:rPr>
          <w:b/>
          <w:sz w:val="20"/>
          <w:szCs w:val="20"/>
        </w:rPr>
        <w:t>Figure 6: Model Validation — Cross-comparison of GBM, Heston, and Merton specifications</w:t>
      </w:r>
    </w:p>
    <w:p w14:paraId="40DFD43F" w14:textId="77777777" w:rsidR="00D0531A" w:rsidRDefault="00D0531A" w:rsidP="005A3702">
      <w:pPr>
        <w:rPr>
          <w:rStyle w:val="SectionNumber"/>
        </w:rPr>
      </w:pPr>
      <w:bookmarkStart w:id="46" w:name="analytical-benchmark"/>
      <w:bookmarkEnd w:id="44"/>
      <w:r w:rsidRPr="005A3702">
        <w:drawing>
          <wp:inline distT="0" distB="0" distL="0" distR="0" wp14:anchorId="7C91F0A1" wp14:editId="4072FCDE">
            <wp:extent cx="5943600" cy="2435860"/>
            <wp:effectExtent l="0" t="0" r="0" b="0"/>
            <wp:docPr id="1516017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17797" name="Picture 15160177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6276" w14:textId="77777777" w:rsidR="00D0531A" w:rsidRDefault="00D0531A">
      <w:pPr>
        <w:pStyle w:val="Heading2"/>
        <w:rPr>
          <w:rStyle w:val="SectionNumber"/>
        </w:rPr>
      </w:pPr>
    </w:p>
    <w:p w14:paraId="33193A0F" w14:textId="65DE517F" w:rsidR="00914C8F" w:rsidRDefault="00000000">
      <w:pPr>
        <w:pStyle w:val="Heading2"/>
      </w:pPr>
      <w:bookmarkStart w:id="47" w:name="_Toc219839012"/>
      <w:r>
        <w:rPr>
          <w:rStyle w:val="SectionNumber"/>
        </w:rPr>
        <w:t>8.2</w:t>
      </w:r>
      <w:r>
        <w:tab/>
        <w:t>Analytical Benchmark</w:t>
      </w:r>
      <w:bookmarkEnd w:id="47"/>
    </w:p>
    <w:p w14:paraId="69D5158F" w14:textId="77777777" w:rsidR="00914C8F" w:rsidRDefault="00000000">
      <w:pPr>
        <w:pStyle w:val="FirstParagraph"/>
      </w:pPr>
      <w:r>
        <w:t>The vanilla gold forward (without barriers) provides a sanity check:</w:t>
      </w:r>
    </w:p>
    <w:p w14:paraId="2EA8ED0F" w14:textId="77777777" w:rsidR="00914C8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vanilla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EUR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500M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2979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4600</m:t>
              </m:r>
            </m:num>
            <m:den>
              <m:r>
                <w:rPr>
                  <w:rFonts w:ascii="Cambria Math" w:hAnsi="Cambria Math"/>
                </w:rPr>
                <m:t>4600</m:t>
              </m:r>
            </m:den>
          </m:f>
        </m:oMath>
      </m:oMathPara>
    </w:p>
    <w:p w14:paraId="219B37AF" w14:textId="77777777" w:rsidR="00914C8F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vanilla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 xml:space="preserve">EUR 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167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598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411</m:t>
          </m:r>
        </m:oMath>
      </m:oMathPara>
    </w:p>
    <w:p w14:paraId="5AB4093E" w14:textId="77777777" w:rsidR="00914C8F" w:rsidRDefault="00000000">
      <w:pPr>
        <w:pStyle w:val="FirstParagraph"/>
      </w:pPr>
      <w:r>
        <w:t>The knock-out version (EUR −192M) is EUR 24M worse than the vanilla, representing the expected cost of early termination when gold is below strike.</w:t>
      </w:r>
    </w:p>
    <w:p w14:paraId="47D3731A" w14:textId="72F512E6" w:rsidR="00914C8F" w:rsidRDefault="00000000">
      <w:pPr>
        <w:pStyle w:val="Heading1"/>
      </w:pPr>
      <w:bookmarkStart w:id="48" w:name="conclusions-and-recommendations"/>
      <w:bookmarkStart w:id="49" w:name="_Toc219839013"/>
      <w:bookmarkEnd w:id="42"/>
      <w:bookmarkEnd w:id="46"/>
      <w:r>
        <w:rPr>
          <w:rStyle w:val="SectionNumber"/>
        </w:rPr>
        <w:lastRenderedPageBreak/>
        <w:t>9</w:t>
      </w:r>
      <w:r>
        <w:tab/>
        <w:t>Conclusions and Recommendations</w:t>
      </w:r>
      <w:bookmarkEnd w:id="49"/>
    </w:p>
    <w:p w14:paraId="15F395A6" w14:textId="2404E077" w:rsidR="00914C8F" w:rsidRDefault="00000000">
      <w:pPr>
        <w:pStyle w:val="Heading2"/>
      </w:pPr>
      <w:bookmarkStart w:id="50" w:name="summary-of-findings"/>
      <w:bookmarkStart w:id="51" w:name="_Toc219839014"/>
      <w:r>
        <w:rPr>
          <w:rStyle w:val="SectionNumber"/>
        </w:rPr>
        <w:t>9.1</w:t>
      </w:r>
      <w:r>
        <w:tab/>
        <w:t>Summary of Findings</w:t>
      </w:r>
      <w:bookmarkEnd w:id="51"/>
    </w:p>
    <w:p w14:paraId="3CC0B5AE" w14:textId="77777777" w:rsidR="00914C8F" w:rsidRDefault="00000000">
      <w:pPr>
        <w:pStyle w:val="FirstParagraph"/>
      </w:pPr>
      <w:r>
        <w:t>The proposed structure is technically sound and priceable using standard Monte Carlo techniques. However, two features merit discussion:</w:t>
      </w:r>
    </w:p>
    <w:p w14:paraId="4806ACC7" w14:textId="77777777" w:rsidR="00914C8F" w:rsidRDefault="00000000">
      <w:pPr>
        <w:numPr>
          <w:ilvl w:val="0"/>
          <w:numId w:val="3"/>
        </w:numPr>
      </w:pPr>
      <w:r>
        <w:rPr>
          <w:b/>
          <w:bCs/>
        </w:rPr>
        <w:t>Strike positioning:</w:t>
      </w:r>
      <w:r>
        <w:t xml:space="preserve"> The USD 4,600 strike creates a deeply out-of-the-money position for Z Group. Clarification of the commercial rationale is recommended.</w:t>
      </w:r>
    </w:p>
    <w:p w14:paraId="431F1C98" w14:textId="77777777" w:rsidR="00914C8F" w:rsidRDefault="00000000">
      <w:pPr>
        <w:numPr>
          <w:ilvl w:val="0"/>
          <w:numId w:val="3"/>
        </w:numPr>
      </w:pPr>
      <w:r>
        <w:rPr>
          <w:b/>
          <w:bCs/>
        </w:rPr>
        <w:t>Barrier proximity:</w:t>
      </w:r>
      <w:r>
        <w:t xml:space="preserve"> The 93% knock-out probability results in an expected contract life of only 5 months—potentially misaligned with a 2-year hedging mandate.</w:t>
      </w:r>
    </w:p>
    <w:p w14:paraId="1B98C5F1" w14:textId="4996E715" w:rsidR="00914C8F" w:rsidRDefault="00000000">
      <w:pPr>
        <w:pStyle w:val="Heading2"/>
      </w:pPr>
      <w:bookmarkStart w:id="52" w:name="recommendations"/>
      <w:bookmarkStart w:id="53" w:name="_Toc219839015"/>
      <w:bookmarkEnd w:id="50"/>
      <w:r>
        <w:rPr>
          <w:rStyle w:val="SectionNumber"/>
        </w:rPr>
        <w:t>9.2</w:t>
      </w:r>
      <w:r>
        <w:tab/>
        <w:t>Recommendations</w:t>
      </w:r>
      <w:bookmarkEnd w:id="53"/>
    </w:p>
    <w:p w14:paraId="4EEE7668" w14:textId="77777777" w:rsidR="00914C8F" w:rsidRDefault="00000000">
      <w:pPr>
        <w:pStyle w:val="FirstParagraph"/>
      </w:pPr>
      <w:r>
        <w:t>We recommend proceeding to term sheet stage contingent upon:</w:t>
      </w:r>
    </w:p>
    <w:p w14:paraId="2D41550A" w14:textId="77777777" w:rsidR="00914C8F" w:rsidRDefault="00000000">
      <w:pPr>
        <w:numPr>
          <w:ilvl w:val="0"/>
          <w:numId w:val="4"/>
        </w:numPr>
      </w:pPr>
      <w:r>
        <w:t>Confirmation from Relationship Management regarding Z Group’s acceptance of the strike level and its implications</w:t>
      </w:r>
    </w:p>
    <w:p w14:paraId="3E6831A1" w14:textId="77777777" w:rsidR="00914C8F" w:rsidRDefault="00000000">
      <w:pPr>
        <w:numPr>
          <w:ilvl w:val="0"/>
          <w:numId w:val="4"/>
        </w:numPr>
      </w:pPr>
      <w:r>
        <w:t>Discussion of whether alternative barrier configurations (e.g., [1.00, 1.30]) would better serve the client’s hedging objectives</w:t>
      </w:r>
    </w:p>
    <w:p w14:paraId="3E44D4E4" w14:textId="77777777" w:rsidR="00914C8F" w:rsidRDefault="00000000">
      <w:pPr>
        <w:numPr>
          <w:ilvl w:val="0"/>
          <w:numId w:val="4"/>
        </w:numPr>
      </w:pPr>
      <w:r>
        <w:t>Documentation of appropriate risk disclosures regarding the high knock-out probability</w:t>
      </w:r>
    </w:p>
    <w:p w14:paraId="71A7FBC7" w14:textId="2FA77D2D" w:rsidR="00914C8F" w:rsidRDefault="00000000">
      <w:pPr>
        <w:pStyle w:val="Heading2"/>
      </w:pPr>
      <w:bookmarkStart w:id="54" w:name="next-steps"/>
      <w:bookmarkStart w:id="55" w:name="_Toc219839016"/>
      <w:bookmarkEnd w:id="52"/>
      <w:r>
        <w:rPr>
          <w:rStyle w:val="SectionNumber"/>
        </w:rPr>
        <w:t>9.3</w:t>
      </w:r>
      <w:r>
        <w:tab/>
        <w:t>Next Steps</w:t>
      </w:r>
      <w:bookmarkEnd w:id="55"/>
    </w:p>
    <w:p w14:paraId="5472F009" w14:textId="77777777" w:rsidR="00914C8F" w:rsidRDefault="00000000">
      <w:pPr>
        <w:pStyle w:val="FirstParagraph"/>
      </w:pPr>
      <w:r>
        <w:t>Upon Committee approval, we will:</w:t>
      </w:r>
    </w:p>
    <w:p w14:paraId="586F74F1" w14:textId="77777777" w:rsidR="00914C8F" w:rsidRDefault="00000000">
      <w:pPr>
        <w:pStyle w:val="Compact"/>
        <w:numPr>
          <w:ilvl w:val="0"/>
          <w:numId w:val="5"/>
        </w:numPr>
      </w:pPr>
      <w:r>
        <w:t>Finalize term sheet documentation</w:t>
      </w:r>
    </w:p>
    <w:p w14:paraId="46E61C10" w14:textId="77777777" w:rsidR="00914C8F" w:rsidRDefault="00000000">
      <w:pPr>
        <w:pStyle w:val="Compact"/>
        <w:numPr>
          <w:ilvl w:val="0"/>
          <w:numId w:val="5"/>
        </w:numPr>
      </w:pPr>
      <w:r>
        <w:t>Establish hedging framework with Trading Desk</w:t>
      </w:r>
    </w:p>
    <w:p w14:paraId="04CF7BD7" w14:textId="77777777" w:rsidR="00914C8F" w:rsidRDefault="00000000">
      <w:pPr>
        <w:pStyle w:val="Compact"/>
        <w:numPr>
          <w:ilvl w:val="0"/>
          <w:numId w:val="5"/>
        </w:numPr>
      </w:pPr>
      <w:r>
        <w:t>Coordinate credit approval with Risk Management</w:t>
      </w:r>
    </w:p>
    <w:p w14:paraId="26CE9B68" w14:textId="77777777" w:rsidR="00914C8F" w:rsidRDefault="00000000">
      <w:pPr>
        <w:pStyle w:val="Compact"/>
        <w:numPr>
          <w:ilvl w:val="0"/>
          <w:numId w:val="5"/>
        </w:numPr>
      </w:pPr>
      <w:r>
        <w:t>Schedule client presentation</w:t>
      </w:r>
    </w:p>
    <w:p w14:paraId="5F2CB660" w14:textId="36131D53" w:rsidR="00914C8F" w:rsidRDefault="00914C8F"/>
    <w:p w14:paraId="059EBF07" w14:textId="77777777" w:rsidR="00D0531A" w:rsidRDefault="00D0531A">
      <w:pPr>
        <w:rPr>
          <w:rStyle w:val="SectionNumber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6" w:name="appendix-a-nomenclature"/>
      <w:bookmarkEnd w:id="48"/>
      <w:bookmarkEnd w:id="54"/>
      <w:r>
        <w:rPr>
          <w:rStyle w:val="SectionNumber"/>
        </w:rPr>
        <w:br w:type="page"/>
      </w:r>
    </w:p>
    <w:p w14:paraId="0A111ABF" w14:textId="2430F7CA" w:rsidR="00914C8F" w:rsidRDefault="00000000">
      <w:pPr>
        <w:pStyle w:val="Heading1"/>
      </w:pPr>
      <w:bookmarkStart w:id="57" w:name="_Toc219839017"/>
      <w:r>
        <w:lastRenderedPageBreak/>
        <w:t>Appendix A: Nomenclature</w:t>
      </w:r>
      <w:bookmarkEnd w:id="5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0"/>
        <w:gridCol w:w="4088"/>
      </w:tblGrid>
      <w:tr w:rsidR="00914C8F" w14:paraId="28E6727F" w14:textId="77777777" w:rsidTr="0091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3BB667" w14:textId="77777777" w:rsidR="00914C8F" w:rsidRDefault="00000000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06D15CEC" w14:textId="77777777" w:rsidR="00914C8F" w:rsidRDefault="00000000">
            <w:pPr>
              <w:pStyle w:val="Compact"/>
            </w:pPr>
            <w:r>
              <w:t>Description</w:t>
            </w:r>
          </w:p>
        </w:tc>
      </w:tr>
      <w:tr w:rsidR="00914C8F" w14:paraId="186110A9" w14:textId="77777777">
        <w:tc>
          <w:tcPr>
            <w:tcW w:w="0" w:type="auto"/>
          </w:tcPr>
          <w:p w14:paraId="2BC344C9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D3293E7" w14:textId="77777777" w:rsidR="00914C8F" w:rsidRDefault="00000000">
            <w:pPr>
              <w:pStyle w:val="Compact"/>
            </w:pPr>
            <w:r>
              <w:t xml:space="preserve">Gold spot price (USD/oz) at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  <w:tr w:rsidR="00914C8F" w14:paraId="32CE3653" w14:textId="77777777">
        <w:tc>
          <w:tcPr>
            <w:tcW w:w="0" w:type="auto"/>
          </w:tcPr>
          <w:p w14:paraId="5EC8F417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E49083F" w14:textId="77777777" w:rsidR="00914C8F" w:rsidRDefault="00000000">
            <w:pPr>
              <w:pStyle w:val="Compact"/>
            </w:pPr>
            <w:r>
              <w:t xml:space="preserve">EUR/USD exchange rate at time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  <w:tr w:rsidR="00914C8F" w14:paraId="117292F8" w14:textId="77777777">
        <w:tc>
          <w:tcPr>
            <w:tcW w:w="0" w:type="auto"/>
          </w:tcPr>
          <w:p w14:paraId="2C06D509" w14:textId="77777777" w:rsidR="00914C8F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1D278DAB" w14:textId="77777777" w:rsidR="00914C8F" w:rsidRDefault="00000000">
            <w:pPr>
              <w:pStyle w:val="Compact"/>
            </w:pPr>
            <w:r>
              <w:t>Strike price (USD 4,600/oz)</w:t>
            </w:r>
          </w:p>
        </w:tc>
      </w:tr>
      <w:tr w:rsidR="00914C8F" w14:paraId="51B323D3" w14:textId="77777777">
        <w:tc>
          <w:tcPr>
            <w:tcW w:w="0" w:type="auto"/>
          </w:tcPr>
          <w:p w14:paraId="737CF042" w14:textId="77777777" w:rsidR="00914C8F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1B1A0EB6" w14:textId="77777777" w:rsidR="00914C8F" w:rsidRDefault="00000000">
            <w:pPr>
              <w:pStyle w:val="Compact"/>
            </w:pPr>
            <w:r>
              <w:t>Notional principal (EUR 500M)</w:t>
            </w:r>
          </w:p>
        </w:tc>
      </w:tr>
      <w:tr w:rsidR="00914C8F" w14:paraId="479FE051" w14:textId="77777777">
        <w:tc>
          <w:tcPr>
            <w:tcW w:w="0" w:type="auto"/>
          </w:tcPr>
          <w:p w14:paraId="607228F9" w14:textId="77777777" w:rsidR="00914C8F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14:paraId="169AB1B3" w14:textId="77777777" w:rsidR="00914C8F" w:rsidRDefault="00000000">
            <w:pPr>
              <w:pStyle w:val="Compact"/>
            </w:pPr>
            <w:r>
              <w:t>Maturity (2 years)</w:t>
            </w:r>
          </w:p>
        </w:tc>
      </w:tr>
      <w:tr w:rsidR="00914C8F" w14:paraId="2CD5B7CB" w14:textId="77777777">
        <w:tc>
          <w:tcPr>
            <w:tcW w:w="0" w:type="auto"/>
          </w:tcPr>
          <w:p w14:paraId="5B6D576B" w14:textId="77777777" w:rsidR="00914C8F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L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U</m:t>
              </m:r>
            </m:oMath>
          </w:p>
        </w:tc>
        <w:tc>
          <w:tcPr>
            <w:tcW w:w="0" w:type="auto"/>
          </w:tcPr>
          <w:p w14:paraId="0CBF9577" w14:textId="77777777" w:rsidR="00914C8F" w:rsidRDefault="00000000">
            <w:pPr>
              <w:pStyle w:val="Compact"/>
            </w:pPr>
            <w:r>
              <w:t>Lower (1.05) and upper (1.25) barriers</w:t>
            </w:r>
          </w:p>
        </w:tc>
      </w:tr>
      <w:tr w:rsidR="00914C8F" w14:paraId="6B28DA41" w14:textId="77777777">
        <w:tc>
          <w:tcPr>
            <w:tcW w:w="0" w:type="auto"/>
          </w:tcPr>
          <w:p w14:paraId="1DF8BE1D" w14:textId="77777777" w:rsidR="00914C8F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EUR</m:t>
                  </m:r>
                </m:sub>
              </m:sSub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USD</m:t>
                  </m:r>
                </m:sub>
              </m:sSub>
            </m:oMath>
          </w:p>
        </w:tc>
        <w:tc>
          <w:tcPr>
            <w:tcW w:w="0" w:type="auto"/>
          </w:tcPr>
          <w:p w14:paraId="6AA2306E" w14:textId="77777777" w:rsidR="00914C8F" w:rsidRDefault="00000000">
            <w:pPr>
              <w:pStyle w:val="Compact"/>
            </w:pPr>
            <w:r>
              <w:t>Risk-free rates</w:t>
            </w:r>
          </w:p>
        </w:tc>
      </w:tr>
      <w:tr w:rsidR="00914C8F" w14:paraId="70DCA7D4" w14:textId="77777777">
        <w:tc>
          <w:tcPr>
            <w:tcW w:w="0" w:type="auto"/>
          </w:tcPr>
          <w:p w14:paraId="1949D7D7" w14:textId="77777777" w:rsidR="00914C8F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oMath>
          </w:p>
        </w:tc>
        <w:tc>
          <w:tcPr>
            <w:tcW w:w="0" w:type="auto"/>
          </w:tcPr>
          <w:p w14:paraId="40EA200F" w14:textId="77777777" w:rsidR="00914C8F" w:rsidRDefault="00000000">
            <w:pPr>
              <w:pStyle w:val="Compact"/>
            </w:pPr>
            <w:r>
              <w:t>Volatilities</w:t>
            </w:r>
          </w:p>
        </w:tc>
      </w:tr>
      <w:tr w:rsidR="00914C8F" w14:paraId="2ACA8AAC" w14:textId="77777777">
        <w:tc>
          <w:tcPr>
            <w:tcW w:w="0" w:type="auto"/>
          </w:tcPr>
          <w:p w14:paraId="5C1F5BB0" w14:textId="77777777" w:rsidR="00914C8F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0" w:type="auto"/>
          </w:tcPr>
          <w:p w14:paraId="3A0D4987" w14:textId="77777777" w:rsidR="00914C8F" w:rsidRDefault="00000000">
            <w:pPr>
              <w:pStyle w:val="Compact"/>
            </w:pPr>
            <w:r>
              <w:t>Correlation coefficient</w:t>
            </w:r>
          </w:p>
        </w:tc>
      </w:tr>
      <w:tr w:rsidR="00914C8F" w14:paraId="441D33DA" w14:textId="77777777">
        <w:tc>
          <w:tcPr>
            <w:tcW w:w="0" w:type="auto"/>
          </w:tcPr>
          <w:p w14:paraId="3736BF07" w14:textId="77777777" w:rsidR="00914C8F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</w:tcPr>
          <w:p w14:paraId="4A4B4184" w14:textId="77777777" w:rsidR="00914C8F" w:rsidRDefault="00000000">
            <w:pPr>
              <w:pStyle w:val="Compact"/>
            </w:pPr>
            <w:r>
              <w:t>Gold convenience yield</w:t>
            </w:r>
          </w:p>
        </w:tc>
      </w:tr>
      <w:tr w:rsidR="00914C8F" w14:paraId="67994FF6" w14:textId="77777777">
        <w:tc>
          <w:tcPr>
            <w:tcW w:w="0" w:type="auto"/>
          </w:tcPr>
          <w:p w14:paraId="2F5B164D" w14:textId="77777777" w:rsidR="00914C8F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0" w:type="auto"/>
          </w:tcPr>
          <w:p w14:paraId="54735539" w14:textId="77777777" w:rsidR="00914C8F" w:rsidRDefault="00000000">
            <w:pPr>
              <w:pStyle w:val="Compact"/>
            </w:pPr>
            <w:r>
              <w:t>Settlement time</w:t>
            </w:r>
          </w:p>
        </w:tc>
      </w:tr>
      <w:tr w:rsidR="00914C8F" w14:paraId="47548385" w14:textId="77777777">
        <w:tc>
          <w:tcPr>
            <w:tcW w:w="0" w:type="auto"/>
          </w:tcPr>
          <w:p w14:paraId="7F9D6B8D" w14:textId="77777777" w:rsidR="00914C8F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KO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5340299" w14:textId="77777777" w:rsidR="00914C8F" w:rsidRDefault="00000000">
            <w:pPr>
              <w:pStyle w:val="Compact"/>
            </w:pPr>
            <w:r>
              <w:t>Knock-out time</w:t>
            </w:r>
          </w:p>
        </w:tc>
      </w:tr>
    </w:tbl>
    <w:p w14:paraId="0ED52FD3" w14:textId="77777777" w:rsidR="00D0531A" w:rsidRDefault="00D0531A">
      <w:pPr>
        <w:pStyle w:val="Heading1"/>
        <w:rPr>
          <w:rStyle w:val="SectionNumber"/>
        </w:rPr>
      </w:pPr>
      <w:bookmarkStart w:id="58" w:name="appendix-b-figure-index"/>
      <w:bookmarkEnd w:id="56"/>
    </w:p>
    <w:p w14:paraId="266FAB8D" w14:textId="77777777" w:rsidR="00D0531A" w:rsidRDefault="00D0531A">
      <w:pPr>
        <w:rPr>
          <w:rStyle w:val="SectionNumber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Style w:val="SectionNumber"/>
        </w:rPr>
        <w:br w:type="page"/>
      </w:r>
    </w:p>
    <w:p w14:paraId="10465A4A" w14:textId="239857DE" w:rsidR="00914C8F" w:rsidRDefault="00000000">
      <w:pPr>
        <w:pStyle w:val="Heading1"/>
      </w:pPr>
      <w:bookmarkStart w:id="59" w:name="_Toc219839018"/>
      <w:r>
        <w:lastRenderedPageBreak/>
        <w:t>Appendix B: Figure Index</w:t>
      </w:r>
      <w:bookmarkEnd w:id="59"/>
    </w:p>
    <w:p w14:paraId="76027B9B" w14:textId="77777777" w:rsidR="00914C8F" w:rsidRDefault="00000000">
      <w:pPr>
        <w:pStyle w:val="Compact"/>
        <w:numPr>
          <w:ilvl w:val="0"/>
          <w:numId w:val="6"/>
        </w:numPr>
      </w:pPr>
      <w:r>
        <w:rPr>
          <w:b/>
        </w:rPr>
        <w:t xml:space="preserve">Figure 1: </w:t>
      </w:r>
      <w:r>
        <w:t>Monte Carlo Simulation Paths — monte_carlo_paths.png</w:t>
      </w:r>
    </w:p>
    <w:p w14:paraId="584CE863" w14:textId="77777777" w:rsidR="00914C8F" w:rsidRDefault="00000000">
      <w:pPr>
        <w:pStyle w:val="Compact"/>
        <w:numPr>
          <w:ilvl w:val="0"/>
          <w:numId w:val="6"/>
        </w:numPr>
      </w:pPr>
      <w:r>
        <w:rPr>
          <w:b/>
        </w:rPr>
        <w:t xml:space="preserve">Figure 2: </w:t>
      </w:r>
      <w:r>
        <w:t>Convergence Analysis — convergence_analysis.png</w:t>
      </w:r>
    </w:p>
    <w:p w14:paraId="197BFA34" w14:textId="77777777" w:rsidR="00914C8F" w:rsidRDefault="00000000">
      <w:pPr>
        <w:pStyle w:val="Compact"/>
        <w:numPr>
          <w:ilvl w:val="0"/>
          <w:numId w:val="6"/>
        </w:numPr>
      </w:pPr>
      <w:r>
        <w:rPr>
          <w:b/>
        </w:rPr>
        <w:t xml:space="preserve">Figure 3: </w:t>
      </w:r>
      <w:r>
        <w:t>Strike Price Sensitivity — scenario_strike.png</w:t>
      </w:r>
    </w:p>
    <w:p w14:paraId="443A675F" w14:textId="77777777" w:rsidR="00914C8F" w:rsidRDefault="00000000">
      <w:pPr>
        <w:pStyle w:val="Compact"/>
        <w:numPr>
          <w:ilvl w:val="0"/>
          <w:numId w:val="6"/>
        </w:numPr>
      </w:pPr>
      <w:r>
        <w:rPr>
          <w:b/>
        </w:rPr>
        <w:t xml:space="preserve">Figure 4: </w:t>
      </w:r>
      <w:r>
        <w:t>Barrier Configuration Analysis — scenario_barrier.png</w:t>
      </w:r>
    </w:p>
    <w:p w14:paraId="0F9C701F" w14:textId="77777777" w:rsidR="00914C8F" w:rsidRDefault="00000000">
      <w:pPr>
        <w:pStyle w:val="Compact"/>
        <w:numPr>
          <w:ilvl w:val="0"/>
          <w:numId w:val="6"/>
        </w:numPr>
      </w:pPr>
      <w:r>
        <w:rPr>
          <w:b/>
        </w:rPr>
        <w:t xml:space="preserve">Figure 5: </w:t>
      </w:r>
      <w:r>
        <w:t>Risk Sensitivities (Greeks) — greeks_summary.png</w:t>
      </w:r>
    </w:p>
    <w:p w14:paraId="7F86091C" w14:textId="77777777" w:rsidR="00914C8F" w:rsidRDefault="00000000">
      <w:pPr>
        <w:pStyle w:val="Compact"/>
        <w:numPr>
          <w:ilvl w:val="0"/>
          <w:numId w:val="6"/>
        </w:numPr>
      </w:pPr>
      <w:r>
        <w:rPr>
          <w:b/>
        </w:rPr>
        <w:t xml:space="preserve">Figure 6: </w:t>
      </w:r>
      <w:r>
        <w:t>Model Validation — model_comparison.png</w:t>
      </w:r>
    </w:p>
    <w:p>
      <w:r>
        <w:rPr>
          <w:b/>
        </w:rPr>
        <w:t xml:space="preserve">Figure 7: </w:t>
      </w:r>
      <w:r>
        <w:t>Comprehensive Sensitivity Analysis — sensitivity_analysis.png</w:t>
      </w:r>
    </w:p>
    <w:p>
      <w:pPr>
        <w:pStyle w:val="Heading1"/>
      </w:pPr>
      <w:r>
        <w:rPr>
          <w:b/>
        </w:rPr>
        <w:t xml:space="preserve">Figure 8: </w:t>
      </w:r>
      <w:r>
        <w:t>Payoff Diagram — payoff_diagram.png</w:t>
      </w:r>
    </w:p>
    <w:p>
      <w:pPr>
        <w:jc w:val="center"/>
      </w:pPr>
      <w:r>
        <w:rPr>
          <w:b/>
        </w:rPr>
        <w:t xml:space="preserve">Figure 9: </w:t>
      </w:r>
      <w:r>
        <w:t>Payoff Distribution — payoff_distribution.png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4476"/>
            <wp:docPr id="2121635082" name="Picture 2121635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4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3866"/>
            <wp:docPr id="2121635083" name="Picture 2121635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off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38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4514"/>
            <wp:docPr id="2121635084" name="Picture 2121635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off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45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14C8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4E08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9E2C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12D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13255226">
    <w:abstractNumId w:val="0"/>
  </w:num>
  <w:num w:numId="2" w16cid:durableId="958873485">
    <w:abstractNumId w:val="1"/>
  </w:num>
  <w:num w:numId="3" w16cid:durableId="1201170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1293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8907691">
    <w:abstractNumId w:val="1"/>
  </w:num>
  <w:num w:numId="6" w16cid:durableId="1319651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C8F"/>
    <w:rsid w:val="004659A4"/>
    <w:rsid w:val="005A3702"/>
    <w:rsid w:val="005C5F01"/>
    <w:rsid w:val="00914C8F"/>
    <w:rsid w:val="00D0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F86F"/>
  <w15:docId w15:val="{2E620ADC-5799-144D-8131-78FEDAE7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659A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659A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1777</Words>
  <Characters>11145</Characters>
  <Application>Microsoft Office Word</Application>
  <DocSecurity>0</DocSecurity>
  <Lines>309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Structured Gold Forward with Knock-Out Barriers</vt:lpstr>
    </vt:vector>
  </TitlesOfParts>
  <Company>Ultipa</Company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Structured Gold Forward with Knock-Out Barriers</dc:title>
  <dc:subject>Pricing and Risk Analysis — Zeus Gold Group Hedging Facility</dc:subject>
  <dc:creator>Derivatives Structuring Desk</dc:creator>
  <cp:keywords/>
  <cp:lastModifiedBy>Cybershield Support Team</cp:lastModifiedBy>
  <cp:revision>3</cp:revision>
  <dcterms:created xsi:type="dcterms:W3CDTF">2026-01-20T13:40:00Z</dcterms:created>
  <dcterms:modified xsi:type="dcterms:W3CDTF">2026-01-20T14:03:00Z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2026</vt:lpwstr>
  </property>
  <property fmtid="{D5CDD505-2E9C-101B-9397-08002B2CF9AE}" pid="3" name="subtitle">
    <vt:lpwstr>Product Development Memorandum</vt:lpwstr>
  </property>
</Properties>
</file>