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AF3D" w14:textId="77777777" w:rsidR="004659A4" w:rsidRDefault="004659A4">
      <w:pPr>
        <w:pStyle w:val="Title"/>
      </w:pPr>
    </w:p>
    <w:p w14:paraId="22BCA77B" w14:textId="77777777" w:rsidR="004659A4" w:rsidRDefault="004659A4">
      <w:pPr>
        <w:pStyle w:val="Title"/>
      </w:pPr>
    </w:p>
    <w:p w14:paraId="3A71D7E0" w14:textId="77777777" w:rsidR="00914C8F" w:rsidRDefault="00072CB4">
      <w:pPr>
        <w:pStyle w:val="Title"/>
      </w:pPr>
      <w:r>
        <w:t>Structured Gold Forward with Knock-Out Barriers</w:t>
      </w:r>
    </w:p>
    <w:p w14:paraId="3C737D13" w14:textId="77777777" w:rsidR="004659A4" w:rsidRDefault="004659A4">
      <w:pPr>
        <w:pStyle w:val="Subtitle"/>
      </w:pPr>
    </w:p>
    <w:p w14:paraId="35920D6E" w14:textId="77777777" w:rsidR="00914C8F" w:rsidRPr="004659A4" w:rsidRDefault="00072CB4">
      <w:pPr>
        <w:pStyle w:val="Subtitle"/>
      </w:pPr>
      <w:r w:rsidRPr="004659A4">
        <w:t>Product Development Memorandum</w:t>
      </w:r>
    </w:p>
    <w:p w14:paraId="3F1A1266" w14:textId="77777777" w:rsidR="004659A4" w:rsidRPr="004659A4" w:rsidRDefault="00072CB4" w:rsidP="004659A4">
      <w:pPr>
        <w:pStyle w:val="Author"/>
        <w:rPr>
          <w:sz w:val="28"/>
          <w:szCs w:val="28"/>
        </w:rPr>
      </w:pPr>
      <w:r w:rsidRPr="004659A4">
        <w:rPr>
          <w:sz w:val="28"/>
          <w:szCs w:val="28"/>
        </w:rPr>
        <w:t>Derivatives Structuring Desk</w:t>
      </w:r>
    </w:p>
    <w:p w14:paraId="664099EF" w14:textId="77777777" w:rsidR="004659A4" w:rsidRPr="004659A4" w:rsidRDefault="00072CB4">
      <w:pPr>
        <w:pStyle w:val="Date"/>
        <w:rPr>
          <w:sz w:val="28"/>
          <w:szCs w:val="28"/>
        </w:rPr>
      </w:pPr>
      <w:r>
        <w:rPr>
          <w:b/>
        </w:rPr>
        <w:t>February 2026 (UPDATED)</w:t>
      </w:r>
    </w:p>
    <w:p w14:paraId="575E5F95" w14:textId="77777777" w:rsidR="004659A4" w:rsidRDefault="004659A4" w:rsidP="004659A4">
      <w:pPr>
        <w:pStyle w:val="BodyText"/>
      </w:pPr>
    </w:p>
    <w:p w14:paraId="5A85B756" w14:textId="77777777" w:rsidR="004659A4" w:rsidRDefault="004659A4" w:rsidP="004659A4">
      <w:pPr>
        <w:pStyle w:val="BodyText"/>
      </w:pPr>
    </w:p>
    <w:p w14:paraId="56D740C6" w14:textId="77777777" w:rsidR="004659A4" w:rsidRDefault="004659A4" w:rsidP="004659A4">
      <w:pPr>
        <w:pStyle w:val="BodyText"/>
      </w:pPr>
    </w:p>
    <w:p w14:paraId="1ADCC04D" w14:textId="77777777" w:rsidR="004659A4" w:rsidRDefault="004659A4" w:rsidP="004659A4">
      <w:pPr>
        <w:pStyle w:val="BodyText"/>
      </w:pPr>
    </w:p>
    <w:p w14:paraId="21CA11AE" w14:textId="77777777" w:rsidR="004659A4" w:rsidRDefault="004659A4" w:rsidP="004659A4">
      <w:pPr>
        <w:pStyle w:val="BodyText"/>
      </w:pPr>
    </w:p>
    <w:p w14:paraId="60151388" w14:textId="77777777" w:rsidR="004659A4" w:rsidRDefault="004659A4" w:rsidP="004659A4">
      <w:pPr>
        <w:pStyle w:val="BodyText"/>
      </w:pPr>
    </w:p>
    <w:p w14:paraId="239B21A6" w14:textId="77777777" w:rsidR="004659A4" w:rsidRPr="004659A4" w:rsidRDefault="004659A4" w:rsidP="004659A4">
      <w:pPr>
        <w:pStyle w:val="BodyText"/>
        <w:jc w:val="center"/>
        <w:rPr>
          <w:sz w:val="28"/>
          <w:szCs w:val="28"/>
        </w:rPr>
      </w:pPr>
      <w:r w:rsidRPr="004659A4">
        <w:rPr>
          <w:rFonts w:hint="eastAsia"/>
          <w:sz w:val="28"/>
          <w:szCs w:val="28"/>
        </w:rPr>
        <w:t>Proposal Prepared By</w:t>
      </w:r>
    </w:p>
    <w:p w14:paraId="11669D99" w14:textId="77777777" w:rsidR="004659A4" w:rsidRPr="004659A4" w:rsidRDefault="004659A4" w:rsidP="004659A4">
      <w:pPr>
        <w:pStyle w:val="BodyText"/>
        <w:jc w:val="center"/>
        <w:rPr>
          <w:sz w:val="28"/>
          <w:szCs w:val="28"/>
        </w:rPr>
      </w:pPr>
      <w:r w:rsidRPr="004659A4">
        <w:rPr>
          <w:rFonts w:hint="eastAsia"/>
          <w:sz w:val="28"/>
          <w:szCs w:val="28"/>
        </w:rPr>
        <w:t>Ricky Sun</w:t>
      </w:r>
    </w:p>
    <w:p w14:paraId="28B8A437" w14:textId="77777777" w:rsidR="004659A4" w:rsidRPr="004659A4" w:rsidRDefault="004659A4" w:rsidP="004659A4">
      <w:pPr>
        <w:pStyle w:val="BodyText"/>
        <w:jc w:val="center"/>
        <w:rPr>
          <w:sz w:val="28"/>
          <w:szCs w:val="28"/>
        </w:rPr>
      </w:pPr>
      <w:r w:rsidRPr="004659A4">
        <w:rPr>
          <w:rFonts w:hint="eastAsia"/>
          <w:sz w:val="28"/>
          <w:szCs w:val="28"/>
        </w:rPr>
        <w:t>ULTIPA</w:t>
      </w:r>
    </w:p>
    <w:p w14:paraId="4E809D35" w14:textId="77777777" w:rsidR="004659A4" w:rsidRDefault="004659A4">
      <w:pPr>
        <w:rPr>
          <w:rFonts w:asciiTheme="majorHAnsi" w:eastAsiaTheme="majorEastAsia" w:hAnsiTheme="majorHAnsi" w:cstheme="majorBidi"/>
        </w:rPr>
      </w:pPr>
      <w:r>
        <w:br w:type="page"/>
      </w:r>
    </w:p>
    <w:p w14:paraId="371BE22E" w14:textId="77777777" w:rsidR="00914C8F" w:rsidRDefault="00914C8F">
      <w:pPr>
        <w:pStyle w:val="Date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793595650"/>
        <w:docPartObj>
          <w:docPartGallery w:val="Table of Contents"/>
          <w:docPartUnique/>
        </w:docPartObj>
      </w:sdtPr>
      <w:sdtEndPr/>
      <w:sdtContent>
        <w:p w14:paraId="43C0D614" w14:textId="77777777" w:rsidR="00914C8F" w:rsidRDefault="00072CB4">
          <w:pPr>
            <w:pStyle w:val="TOCHeading"/>
          </w:pPr>
          <w:r>
            <w:t>Table of Contents</w:t>
          </w:r>
        </w:p>
        <w:p w14:paraId="57E18F29" w14:textId="4D5F0253" w:rsidR="005A3702" w:rsidRDefault="00072CB4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9838989" w:history="1">
            <w:r w:rsidR="005A3702" w:rsidRPr="000669B6">
              <w:rPr>
                <w:rStyle w:val="Hyperlink"/>
                <w:noProof/>
              </w:rPr>
              <w:t>1</w:t>
            </w:r>
            <w:r w:rsidR="005A3702">
              <w:rPr>
                <w:noProof/>
                <w:kern w:val="2"/>
                <w14:ligatures w14:val="standardContextual"/>
              </w:rPr>
              <w:tab/>
            </w:r>
            <w:r w:rsidR="005A3702" w:rsidRPr="000669B6">
              <w:rPr>
                <w:rStyle w:val="Hyperlink"/>
                <w:noProof/>
              </w:rPr>
              <w:t>Executive Summary</w:t>
            </w:r>
            <w:r w:rsidR="005A3702">
              <w:rPr>
                <w:noProof/>
                <w:webHidden/>
              </w:rPr>
              <w:tab/>
            </w:r>
            <w:r w:rsidR="005A3702">
              <w:rPr>
                <w:noProof/>
                <w:webHidden/>
              </w:rPr>
              <w:fldChar w:fldCharType="begin"/>
            </w:r>
            <w:r w:rsidR="005A3702">
              <w:rPr>
                <w:noProof/>
                <w:webHidden/>
              </w:rPr>
              <w:instrText xml:space="preserve"> PAGEREF _Toc219838989 \h </w:instrText>
            </w:r>
            <w:r w:rsidR="005A3702">
              <w:rPr>
                <w:noProof/>
                <w:webHidden/>
              </w:rPr>
            </w:r>
            <w:r w:rsidR="005A370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5A3702">
              <w:rPr>
                <w:noProof/>
                <w:webHidden/>
              </w:rPr>
              <w:fldChar w:fldCharType="end"/>
            </w:r>
          </w:hyperlink>
        </w:p>
        <w:p w14:paraId="033E0631" w14:textId="22BA2C57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0" w:history="1">
            <w:r w:rsidRPr="000669B6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Transaction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047A9" w14:textId="511D20EB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1" w:history="1">
            <w:r w:rsidRPr="000669B6">
              <w:rPr>
                <w:rStyle w:val="Hyperlink"/>
                <w:noProof/>
              </w:rPr>
              <w:t>2.1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Settlement Mechanics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A11A3" w14:textId="31A2D2DB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2" w:history="1">
            <w:r w:rsidRPr="000669B6">
              <w:rPr>
                <w:rStyle w:val="Hyperlink"/>
                <w:noProof/>
              </w:rPr>
              <w:t>2.2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Knock-Out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3728E" w14:textId="1B66B937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3" w:history="1">
            <w:r w:rsidRPr="000669B6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Mathematical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E9157" w14:textId="717F485C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4" w:history="1">
            <w:r w:rsidRPr="000669B6">
              <w:rPr>
                <w:rStyle w:val="Hyperlink"/>
                <w:noProof/>
              </w:rPr>
              <w:t>3.1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Stochastic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BC0D" w14:textId="384975D7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5" w:history="1">
            <w:r w:rsidRPr="000669B6">
              <w:rPr>
                <w:rStyle w:val="Hyperlink"/>
                <w:noProof/>
              </w:rPr>
              <w:t>3.2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Parameter Estimates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D2BE4" w14:textId="647A3032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6" w:history="1">
            <w:r w:rsidRPr="000669B6">
              <w:rPr>
                <w:rStyle w:val="Hyperlink"/>
                <w:noProof/>
              </w:rPr>
              <w:t>3.3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Risk-Neutral 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9BC9F" w14:textId="61115253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7" w:history="1">
            <w:r w:rsidRPr="000669B6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Numerical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5DDB9" w14:textId="65D1211C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8" w:history="1">
            <w:r w:rsidRPr="000669B6">
              <w:rPr>
                <w:rStyle w:val="Hyperlink"/>
                <w:noProof/>
              </w:rPr>
              <w:t>4.1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Simulation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0AB9" w14:textId="72C68E03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9" w:history="1">
            <w:r w:rsidRPr="000669B6">
              <w:rPr>
                <w:rStyle w:val="Hyperlink"/>
                <w:noProof/>
              </w:rPr>
              <w:t>4.2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Variance Reduction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05975" w14:textId="11197E6A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0" w:history="1">
            <w:r w:rsidRPr="000669B6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Pricing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4E042" w14:textId="760FA972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1" w:history="1">
            <w:r w:rsidRPr="000669B6">
              <w:rPr>
                <w:rStyle w:val="Hyperlink"/>
                <w:noProof/>
              </w:rPr>
              <w:t>5.1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Base Case 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BF61B" w14:textId="43D3C17F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2" w:history="1">
            <w:r w:rsidRPr="000669B6">
              <w:rPr>
                <w:rStyle w:val="Hyperlink"/>
                <w:noProof/>
              </w:rPr>
              <w:t>5.2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Barrier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3124" w14:textId="44CD46EF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3" w:history="1">
            <w:r w:rsidRPr="000669B6">
              <w:rPr>
                <w:rStyle w:val="Hyperlink"/>
                <w:noProof/>
              </w:rPr>
              <w:t>5.3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Convergence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308EB" w14:textId="0296502A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4" w:history="1">
            <w:r w:rsidRPr="000669B6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Critical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A0D38" w14:textId="73BE3522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5" w:history="1">
            <w:r w:rsidRPr="000669B6">
              <w:rPr>
                <w:rStyle w:val="Hyperlink"/>
                <w:noProof/>
              </w:rPr>
              <w:t>6.1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Strike Price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9DBC1" w14:textId="762E0BD1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6" w:history="1">
            <w:r w:rsidRPr="000669B6">
              <w:rPr>
                <w:rStyle w:val="Hyperlink"/>
                <w:noProof/>
              </w:rPr>
              <w:t>6.2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Barrier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08715" w14:textId="09ABE70A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7" w:history="1">
            <w:r w:rsidRPr="000669B6">
              <w:rPr>
                <w:rStyle w:val="Hyperlink"/>
                <w:noProof/>
              </w:rPr>
              <w:t>7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Risk Sensitivities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AEFCB" w14:textId="62D9662A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8" w:history="1">
            <w:r w:rsidRPr="000669B6">
              <w:rPr>
                <w:rStyle w:val="Hyperlink"/>
                <w:noProof/>
              </w:rPr>
              <w:t>7.1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Greeks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E1D4E" w14:textId="027615BF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9" w:history="1">
            <w:r w:rsidRPr="000669B6">
              <w:rPr>
                <w:rStyle w:val="Hyperlink"/>
                <w:noProof/>
              </w:rPr>
              <w:t>7.2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Hedging Implications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71C05" w14:textId="6110286B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0" w:history="1">
            <w:r w:rsidRPr="000669B6">
              <w:rPr>
                <w:rStyle w:val="Hyperlink"/>
                <w:noProof/>
              </w:rPr>
              <w:t>8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Model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A7C3" w14:textId="39ED77D4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1" w:history="1">
            <w:r w:rsidRPr="000669B6">
              <w:rPr>
                <w:rStyle w:val="Hyperlink"/>
                <w:noProof/>
              </w:rPr>
              <w:t>8.1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Alternative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2A34E" w14:textId="2F18F8C0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2" w:history="1">
            <w:r w:rsidRPr="000669B6">
              <w:rPr>
                <w:rStyle w:val="Hyperlink"/>
                <w:noProof/>
              </w:rPr>
              <w:t>8.2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Analytical 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FBB67" w14:textId="15365412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3" w:history="1">
            <w:r w:rsidRPr="000669B6">
              <w:rPr>
                <w:rStyle w:val="Hyperlink"/>
                <w:noProof/>
              </w:rPr>
              <w:t>9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Conclusions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556FA" w14:textId="28756D20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4" w:history="1">
            <w:r w:rsidRPr="000669B6">
              <w:rPr>
                <w:rStyle w:val="Hyperlink"/>
                <w:noProof/>
              </w:rPr>
              <w:t>9.1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Summary of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98B3" w14:textId="579FEDAD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5" w:history="1">
            <w:r w:rsidRPr="000669B6">
              <w:rPr>
                <w:rStyle w:val="Hyperlink"/>
                <w:noProof/>
              </w:rPr>
              <w:t>9.2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CE9BC" w14:textId="6ECE8AB5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6" w:history="1">
            <w:r w:rsidRPr="000669B6">
              <w:rPr>
                <w:rStyle w:val="Hyperlink"/>
                <w:noProof/>
              </w:rPr>
              <w:t>9.3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FC1EB" w14:textId="5AB99BCF" w:rsidR="005A3702" w:rsidRDefault="005A3702">
          <w:pPr>
            <w:pStyle w:val="TOC1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7" w:history="1">
            <w:r w:rsidRPr="000669B6">
              <w:rPr>
                <w:rStyle w:val="Hyperlink"/>
                <w:noProof/>
              </w:rPr>
              <w:t>Appendix A: Nomenclature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F0826" w14:textId="65AC6285" w:rsidR="005A3702" w:rsidRDefault="005A3702">
          <w:pPr>
            <w:pStyle w:val="TOC1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8" w:history="1">
            <w:r w:rsidRPr="000669B6">
              <w:rPr>
                <w:rStyle w:val="Hyperlink"/>
                <w:noProof/>
              </w:rPr>
              <w:t>Appendix B: Figure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CB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860FD" w14:textId="77777777" w:rsidR="00914C8F" w:rsidRDefault="00072CB4">
          <w:r>
            <w:fldChar w:fldCharType="end"/>
          </w:r>
        </w:p>
      </w:sdtContent>
    </w:sdt>
    <w:p w14:paraId="73ED92D0" w14:textId="77777777" w:rsidR="00914C8F" w:rsidRDefault="00072CB4">
      <w:pPr>
        <w:pStyle w:val="FirstParagraph"/>
      </w:pPr>
      <w:r>
        <w:rPr>
          <w:b/>
          <w:bCs/>
        </w:rPr>
        <w:t>CONFIDENTIAL</w:t>
      </w:r>
    </w:p>
    <w:p w14:paraId="7C262BA5" w14:textId="77777777" w:rsidR="00914C8F" w:rsidRDefault="00072CB4">
      <w:pPr>
        <w:pStyle w:val="BodyText"/>
      </w:pPr>
      <w:r>
        <w:rPr>
          <w:b/>
          <w:bCs/>
        </w:rPr>
        <w:t>TO:</w:t>
      </w:r>
      <w:r>
        <w:t xml:space="preserve"> Product Committee, Alphabank S.A.</w:t>
      </w:r>
    </w:p>
    <w:p w14:paraId="5F656355" w14:textId="77777777" w:rsidR="00914C8F" w:rsidRDefault="00072CB4">
      <w:pPr>
        <w:pStyle w:val="BodyText"/>
      </w:pPr>
      <w:r>
        <w:rPr>
          <w:b/>
          <w:bCs/>
        </w:rPr>
        <w:t>FROM:</w:t>
      </w:r>
      <w:r>
        <w:t xml:space="preserve"> Derivatives Structuring Desk</w:t>
      </w:r>
    </w:p>
    <w:p w14:paraId="4FA0A099" w14:textId="77777777" w:rsidR="00914C8F" w:rsidRDefault="00072CB4">
      <w:pPr>
        <w:pStyle w:val="BodyText"/>
      </w:pPr>
      <w:r>
        <w:t>DATE: February 1, 2026 (Market Update)</w:t>
      </w:r>
    </w:p>
    <w:p w14:paraId="603DFCED" w14:textId="77777777" w:rsidR="00914C8F" w:rsidRDefault="00072CB4" w:rsidP="00D0531A">
      <w:pPr>
        <w:pStyle w:val="BodyText"/>
      </w:pPr>
      <w:r>
        <w:rPr>
          <w:b/>
          <w:bCs/>
        </w:rPr>
        <w:t>RE:</w:t>
      </w:r>
      <w:r>
        <w:t xml:space="preserve"> Pricing and Risk Analysis — Zeus Gold Group AG Hedging Facility</w:t>
      </w:r>
    </w:p>
    <w:p w14:paraId="451CE6CA" w14:textId="77777777" w:rsidR="00914C8F" w:rsidRDefault="00072CB4">
      <w:pPr>
        <w:pStyle w:val="Heading1"/>
      </w:pPr>
      <w:bookmarkStart w:id="0" w:name="_Toc219838989"/>
      <w:bookmarkStart w:id="1" w:name="executive-summary"/>
      <w:r>
        <w:rPr>
          <w:rStyle w:val="SectionNumber"/>
        </w:rPr>
        <w:t>1</w:t>
      </w:r>
      <w:r>
        <w:tab/>
        <w:t>Executive Summary</w:t>
      </w:r>
      <w:bookmarkEnd w:id="0"/>
    </w:p>
    <w:p w14:paraId="00CEB34C" w14:textId="77777777" w:rsidR="00914C8F" w:rsidRDefault="00072CB4">
      <w:pPr>
        <w:pStyle w:val="FirstParagraph"/>
      </w:pPr>
      <w:r>
        <w:t>This memorandum presents our analysis of a proposed structured hedging facility for Zeus Gold Group AG (“Z Group”). The product combines exposure to LBMA gold prices with automatic termination features linked to EUR/USD exchange rate movements.</w:t>
      </w:r>
    </w:p>
    <w:p w14:paraId="14C10AE8" w14:textId="77777777" w:rsidR="00914C8F" w:rsidRDefault="00072CB4">
      <w:pPr>
        <w:pStyle w:val="BodyText"/>
      </w:pPr>
      <w:r>
        <w:t>We have developed a comprehensive pricing framework validated through multiple methodologies. Our analysis identifies several structural considerations that warrant discussion before proceeding to term sheet finalization.</w:t>
      </w:r>
    </w:p>
    <w:p w14:paraId="4CCC24C6" w14:textId="77777777" w:rsidR="00914C8F" w:rsidRDefault="00072CB4">
      <w:pPr>
        <w:pStyle w:val="BodyText"/>
      </w:pPr>
      <w:r>
        <w:rPr>
          <w:b/>
          <w:bCs/>
        </w:rPr>
        <w:t>Transaction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2"/>
        <w:gridCol w:w="4157"/>
      </w:tblGrid>
      <w:tr w:rsidR="00914C8F" w14:paraId="213B485A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AB91A3" w14:textId="77777777" w:rsidR="00914C8F" w:rsidRDefault="00072CB4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26FF0A4F" w14:textId="77777777" w:rsidR="00914C8F" w:rsidRDefault="00072CB4">
            <w:pPr>
              <w:pStyle w:val="Compact"/>
            </w:pPr>
            <w:r>
              <w:t>Specification</w:t>
            </w:r>
          </w:p>
        </w:tc>
      </w:tr>
      <w:tr w:rsidR="00914C8F" w14:paraId="14050CCC" w14:textId="77777777">
        <w:tc>
          <w:tcPr>
            <w:tcW w:w="0" w:type="auto"/>
          </w:tcPr>
          <w:p w14:paraId="7A535B64" w14:textId="77777777" w:rsidR="00914C8F" w:rsidRDefault="00072CB4">
            <w:pPr>
              <w:pStyle w:val="Compact"/>
            </w:pPr>
            <w:r>
              <w:t>Notional Principal</w:t>
            </w:r>
          </w:p>
        </w:tc>
        <w:tc>
          <w:tcPr>
            <w:tcW w:w="0" w:type="auto"/>
          </w:tcPr>
          <w:p w14:paraId="6AE5FC18" w14:textId="77777777" w:rsidR="00914C8F" w:rsidRDefault="00072CB4">
            <w:pPr>
              <w:pStyle w:val="Compact"/>
            </w:pPr>
            <w:r>
              <w:t>EUR 500,000,000</w:t>
            </w:r>
          </w:p>
        </w:tc>
      </w:tr>
      <w:tr w:rsidR="00914C8F" w14:paraId="05ECDCD0" w14:textId="77777777">
        <w:tc>
          <w:tcPr>
            <w:tcW w:w="0" w:type="auto"/>
          </w:tcPr>
          <w:p w14:paraId="20C8AD20" w14:textId="77777777" w:rsidR="00914C8F" w:rsidRDefault="00072CB4">
            <w:pPr>
              <w:pStyle w:val="Compact"/>
            </w:pPr>
            <w:r>
              <w:t>Reference Asset</w:t>
            </w:r>
          </w:p>
        </w:tc>
        <w:tc>
          <w:tcPr>
            <w:tcW w:w="0" w:type="auto"/>
          </w:tcPr>
          <w:p w14:paraId="4DA6753F" w14:textId="77777777" w:rsidR="00914C8F" w:rsidRDefault="00072CB4">
            <w:pPr>
              <w:pStyle w:val="Compact"/>
            </w:pPr>
            <w:r>
              <w:t>LBMA Gold PM Fixing (USD/oz)</w:t>
            </w:r>
          </w:p>
        </w:tc>
      </w:tr>
      <w:tr w:rsidR="00914C8F" w14:paraId="053BF48B" w14:textId="77777777">
        <w:tc>
          <w:tcPr>
            <w:tcW w:w="0" w:type="auto"/>
          </w:tcPr>
          <w:p w14:paraId="6ADFD2C1" w14:textId="77777777" w:rsidR="00914C8F" w:rsidRDefault="00072CB4">
            <w:pPr>
              <w:pStyle w:val="Compact"/>
            </w:pPr>
            <w:r>
              <w:t>Strike Price</w:t>
            </w:r>
          </w:p>
        </w:tc>
        <w:tc>
          <w:tcPr>
            <w:tcW w:w="0" w:type="auto"/>
          </w:tcPr>
          <w:p w14:paraId="27A522FC" w14:textId="77777777" w:rsidR="00914C8F" w:rsidRDefault="00072CB4">
            <w:pPr>
              <w:pStyle w:val="Compact"/>
            </w:pPr>
            <w:r>
              <w:t>USD 4,600 per troy ounce</w:t>
            </w:r>
          </w:p>
        </w:tc>
      </w:tr>
      <w:tr w:rsidR="00914C8F" w14:paraId="56E380D4" w14:textId="77777777">
        <w:tc>
          <w:tcPr>
            <w:tcW w:w="0" w:type="auto"/>
          </w:tcPr>
          <w:p w14:paraId="6821278D" w14:textId="77777777" w:rsidR="00914C8F" w:rsidRDefault="00072CB4">
            <w:pPr>
              <w:pStyle w:val="Compact"/>
            </w:pPr>
            <w:r>
              <w:t>Tenor</w:t>
            </w:r>
          </w:p>
        </w:tc>
        <w:tc>
          <w:tcPr>
            <w:tcW w:w="0" w:type="auto"/>
          </w:tcPr>
          <w:p w14:paraId="5AF728C2" w14:textId="77777777" w:rsidR="00914C8F" w:rsidRDefault="00072CB4">
            <w:pPr>
              <w:pStyle w:val="Compact"/>
            </w:pPr>
            <w:r>
              <w:t>2 years (March 2026 — February 2028)</w:t>
            </w:r>
          </w:p>
        </w:tc>
      </w:tr>
      <w:tr w:rsidR="00914C8F" w14:paraId="0D091B0C" w14:textId="77777777">
        <w:tc>
          <w:tcPr>
            <w:tcW w:w="0" w:type="auto"/>
          </w:tcPr>
          <w:p w14:paraId="70D2237F" w14:textId="77777777" w:rsidR="00914C8F" w:rsidRDefault="00072CB4">
            <w:pPr>
              <w:pStyle w:val="Compact"/>
            </w:pPr>
            <w:r>
              <w:t>Knock-Out Barriers</w:t>
            </w:r>
          </w:p>
        </w:tc>
        <w:tc>
          <w:tcPr>
            <w:tcW w:w="0" w:type="auto"/>
          </w:tcPr>
          <w:p w14:paraId="48A8C136" w14:textId="77777777" w:rsidR="00914C8F" w:rsidRDefault="00072CB4">
            <w:pPr>
              <w:pStyle w:val="Compact"/>
            </w:pPr>
            <w:r>
              <w:t>EUR/USD &lt; 1.05 or EUR/USD &gt; 1.25</w:t>
            </w:r>
          </w:p>
        </w:tc>
      </w:tr>
    </w:tbl>
    <w:p w14:paraId="315F5A73" w14:textId="77777777" w:rsidR="00B17825" w:rsidRDefault="00072CB4">
      <w:r>
        <w:rPr>
          <w:b/>
          <w:color w:val="C05000"/>
        </w:rPr>
        <w:t>⚠</w:t>
      </w:r>
      <w:r>
        <w:rPr>
          <w:b/>
          <w:color w:val="C05000"/>
        </w:rPr>
        <w:t xml:space="preserve"> MARKET UPDATE — February 1, 2026</w:t>
      </w:r>
    </w:p>
    <w:p w14:paraId="321DC55F" w14:textId="77777777" w:rsidR="00B17825" w:rsidRDefault="00072CB4">
      <w:pPr>
        <w:spacing w:after="240"/>
      </w:pPr>
      <w:r>
        <w:t>Since the original January 2026 analysis, significant market movements have fundamentally altered the product economics. Gold prices surged to $4,900/oz (from $2,750) while EUR/USD strengthened to 1.19 (from 1.08). This represents a complete reversal of the product's value proposition, shifting from a EUR 192M liability to a EUR 46M asset for Z Group. The EUR/USD rate is now only 5% below the upper knock-out barrier (1.25), dramatically increasing the probability of early termination with Z Group in a profi</w:t>
      </w:r>
      <w:r>
        <w:t>table position.</w:t>
      </w:r>
    </w:p>
    <w:p w14:paraId="3B298DF3" w14:textId="77777777" w:rsidR="00914C8F" w:rsidRDefault="00072CB4">
      <w:pPr>
        <w:pStyle w:val="BodyText"/>
      </w:pPr>
      <w:r>
        <w:rPr>
          <w:b/>
          <w:bCs/>
        </w:rPr>
        <w:t>Key Findings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05"/>
        <w:gridCol w:w="1850"/>
      </w:tblGrid>
      <w:tr w:rsidR="00914C8F" w14:paraId="51DB9B9F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378535" w14:textId="77777777" w:rsidR="00914C8F" w:rsidRDefault="00072CB4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20FE2B9B" w14:textId="77777777" w:rsidR="00914C8F" w:rsidRDefault="00072CB4">
            <w:pPr>
              <w:pStyle w:val="Compact"/>
            </w:pPr>
            <w:r>
              <w:t>Result</w:t>
            </w:r>
          </w:p>
        </w:tc>
      </w:tr>
      <w:tr w:rsidR="00914C8F" w14:paraId="78250BBF" w14:textId="77777777">
        <w:tc>
          <w:tcPr>
            <w:tcW w:w="0" w:type="auto"/>
          </w:tcPr>
          <w:p w14:paraId="70EDF315" w14:textId="77777777" w:rsidR="00914C8F" w:rsidRDefault="00072CB4">
            <w:pPr>
              <w:pStyle w:val="Compact"/>
            </w:pPr>
            <w:r>
              <w:t>Z Group Present Value</w:t>
            </w:r>
          </w:p>
        </w:tc>
        <w:tc>
          <w:tcPr>
            <w:tcW w:w="0" w:type="auto"/>
          </w:tcPr>
          <w:p w14:paraId="7393620A" w14:textId="77777777" w:rsidR="00B17825" w:rsidRDefault="00072CB4">
            <w:r>
              <w:rPr>
                <w:color w:val="008000"/>
              </w:rPr>
              <w:t>EUR +46 million</w:t>
            </w:r>
          </w:p>
        </w:tc>
      </w:tr>
      <w:tr w:rsidR="00914C8F" w14:paraId="00B6506D" w14:textId="77777777">
        <w:tc>
          <w:tcPr>
            <w:tcW w:w="0" w:type="auto"/>
          </w:tcPr>
          <w:p w14:paraId="404090CD" w14:textId="77777777" w:rsidR="00914C8F" w:rsidRDefault="00072CB4">
            <w:pPr>
              <w:pStyle w:val="Compact"/>
            </w:pPr>
            <w:r>
              <w:t>Alphabank Present Value</w:t>
            </w:r>
          </w:p>
        </w:tc>
        <w:tc>
          <w:tcPr>
            <w:tcW w:w="0" w:type="auto"/>
          </w:tcPr>
          <w:p w14:paraId="07FFF067" w14:textId="77777777" w:rsidR="00B17825" w:rsidRDefault="00072CB4">
            <w:r>
              <w:rPr>
                <w:color w:val="C00000"/>
              </w:rPr>
              <w:t>EUR −46 million</w:t>
            </w:r>
          </w:p>
        </w:tc>
      </w:tr>
      <w:tr w:rsidR="00914C8F" w14:paraId="6C6876EB" w14:textId="77777777">
        <w:tc>
          <w:tcPr>
            <w:tcW w:w="0" w:type="auto"/>
          </w:tcPr>
          <w:p w14:paraId="6D381121" w14:textId="77777777" w:rsidR="00914C8F" w:rsidRDefault="00072CB4">
            <w:pPr>
              <w:pStyle w:val="Compact"/>
            </w:pPr>
            <w:r>
              <w:t>Knock-Out Probability</w:t>
            </w:r>
          </w:p>
        </w:tc>
        <w:tc>
          <w:tcPr>
            <w:tcW w:w="0" w:type="auto"/>
          </w:tcPr>
          <w:p w14:paraId="1AF60D49" w14:textId="77777777" w:rsidR="00B17825" w:rsidRDefault="00072CB4">
            <w:r>
              <w:t>95%</w:t>
            </w:r>
          </w:p>
        </w:tc>
      </w:tr>
      <w:tr w:rsidR="00914C8F" w14:paraId="0C2FAAD1" w14:textId="77777777">
        <w:tc>
          <w:tcPr>
            <w:tcW w:w="0" w:type="auto"/>
          </w:tcPr>
          <w:p w14:paraId="7EA7078F" w14:textId="77777777" w:rsidR="00914C8F" w:rsidRDefault="00072CB4">
            <w:pPr>
              <w:pStyle w:val="Compact"/>
            </w:pPr>
            <w:r>
              <w:t>Expected Contract Duration</w:t>
            </w:r>
          </w:p>
        </w:tc>
        <w:tc>
          <w:tcPr>
            <w:tcW w:w="0" w:type="auto"/>
          </w:tcPr>
          <w:p w14:paraId="68D9F242" w14:textId="77777777" w:rsidR="00B17825" w:rsidRDefault="00072CB4">
            <w:r>
              <w:t>7 months</w:t>
            </w:r>
          </w:p>
        </w:tc>
      </w:tr>
    </w:tbl>
    <w:p w14:paraId="1BB8C96D" w14:textId="77777777" w:rsidR="00914C8F" w:rsidRDefault="00072CB4">
      <w:pPr>
        <w:pStyle w:val="BodyText"/>
      </w:pPr>
      <w:r>
        <w:t>The negative present value for Z Group reflects the strike price being set 54% above the two-year gold forward. The high knock-out probability stems from the lower barrier’s proximity to current spot (2.8% distance) combined with negative EUR/USD drift from interest rate differentials.</w:t>
      </w:r>
    </w:p>
    <w:p w14:paraId="1B14289A" w14:textId="77777777" w:rsidR="00914C8F" w:rsidRDefault="00072CB4">
      <w:pPr>
        <w:pStyle w:val="Heading1"/>
      </w:pPr>
      <w:bookmarkStart w:id="2" w:name="_Toc219838990"/>
      <w:bookmarkStart w:id="3" w:name="transaction-overview"/>
      <w:bookmarkEnd w:id="1"/>
      <w:r>
        <w:rPr>
          <w:rStyle w:val="SectionNumber"/>
        </w:rPr>
        <w:t>2</w:t>
      </w:r>
      <w:r>
        <w:tab/>
        <w:t>Transaction Overview</w:t>
      </w:r>
      <w:bookmarkEnd w:id="2"/>
    </w:p>
    <w:p w14:paraId="6F6652CA" w14:textId="77777777" w:rsidR="00914C8F" w:rsidRDefault="00072CB4">
      <w:pPr>
        <w:pStyle w:val="FirstParagraph"/>
      </w:pPr>
      <w:r>
        <w:t>Zeus Gold Group, a Frankfurt-headquartered jewelry manufacturer, seeks to hedge its USD-denominated gold procurement costs while managing EUR/USD translation risk. The proposed facility would run for two years commencing March 2026.</w:t>
      </w:r>
    </w:p>
    <w:p w14:paraId="43830E16" w14:textId="77777777" w:rsidR="00914C8F" w:rsidRDefault="00072CB4">
      <w:pPr>
        <w:pStyle w:val="Heading2"/>
      </w:pPr>
      <w:bookmarkStart w:id="4" w:name="_Toc219838991"/>
      <w:bookmarkStart w:id="5" w:name="settlement-mechanics"/>
      <w:r>
        <w:rPr>
          <w:rStyle w:val="SectionNumber"/>
        </w:rPr>
        <w:t>2.1</w:t>
      </w:r>
      <w:r>
        <w:tab/>
        <w:t>Settlement Mechanics</w:t>
      </w:r>
      <w:bookmarkEnd w:id="4"/>
    </w:p>
    <w:p w14:paraId="15C041D4" w14:textId="77777777" w:rsidR="00914C8F" w:rsidRDefault="00072CB4">
      <w:pPr>
        <w:pStyle w:val="FirstParagraph"/>
      </w:pPr>
      <w:r>
        <w:t xml:space="preserve">At settlement time </w:t>
      </w:r>
      <m:oMath>
        <m:r>
          <w:rPr>
            <w:rFonts w:ascii="Cambria Math" w:hAnsi="Cambria Math"/>
          </w:rPr>
          <m:t>τ</m:t>
        </m:r>
      </m:oMath>
      <w:r>
        <w:t xml:space="preserve"> (maturity or knock-out, whichever occurs first), with LBMA gold fixing at price </w:t>
      </w:r>
      <m:oMath>
        <m:r>
          <w:rPr>
            <w:rFonts w:ascii="Cambria Math" w:hAnsi="Cambria Math"/>
          </w:rPr>
          <m:t>P</m:t>
        </m:r>
      </m:oMath>
      <w:r>
        <w:t>:</w:t>
      </w:r>
    </w:p>
    <w:p w14:paraId="0BAA21B5" w14:textId="77777777" w:rsidR="00914C8F" w:rsidRDefault="00072CB4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Z Group Payoff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18DBDF5E" w14:textId="77777777" w:rsidR="00914C8F" w:rsidRDefault="00072CB4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Alphabank Payoff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4614DEFB" w14:textId="77777777" w:rsidR="00914C8F" w:rsidRDefault="00072CB4">
      <w:pPr>
        <w:pStyle w:val="FirstParagraph"/>
      </w:pPr>
      <w:r>
        <w:t>where:</w:t>
      </w:r>
    </w:p>
    <w:p w14:paraId="29BB281D" w14:textId="77777777" w:rsidR="00914C8F" w:rsidRDefault="00072CB4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000</m:t>
        </m:r>
      </m:oMath>
      <w:r>
        <w:t xml:space="preserve"> EUR (notional principal)</w:t>
      </w:r>
    </w:p>
    <w:p w14:paraId="0BFEADB7" w14:textId="77777777" w:rsidR="00914C8F" w:rsidRDefault="00072CB4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600</m:t>
        </m:r>
      </m:oMath>
      <w:r>
        <w:t xml:space="preserve"> USD/oz (strike price)</w:t>
      </w:r>
    </w:p>
    <w:p w14:paraId="445AFC67" w14:textId="77777777" w:rsidR="00914C8F" w:rsidRDefault="00072CB4">
      <w:pPr>
        <w:pStyle w:val="Compact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>
        <w:t xml:space="preserve"> = LBMA Gold PM fixing at settlement</w:t>
      </w:r>
    </w:p>
    <w:p w14:paraId="7191DAB9" w14:textId="77777777" w:rsidR="00914C8F" w:rsidRDefault="00072CB4">
      <w:pPr>
        <w:pStyle w:val="Heading2"/>
      </w:pPr>
      <w:bookmarkStart w:id="6" w:name="_Toc219838992"/>
      <w:bookmarkStart w:id="7" w:name="knock-out-mechanism"/>
      <w:bookmarkEnd w:id="5"/>
      <w:r>
        <w:rPr>
          <w:rStyle w:val="SectionNumber"/>
        </w:rPr>
        <w:t>2.2</w:t>
      </w:r>
      <w:r>
        <w:tab/>
        <w:t>Knock-Out Mechanism</w:t>
      </w:r>
      <w:bookmarkEnd w:id="6"/>
    </w:p>
    <w:p w14:paraId="0380ED36" w14:textId="77777777" w:rsidR="00914C8F" w:rsidRDefault="00072CB4">
      <w:pPr>
        <w:pStyle w:val="FirstParagraph"/>
      </w:pPr>
      <w:r>
        <w:t>The contract terminates immediately upon the first occurrence of:</w:t>
      </w:r>
    </w:p>
    <w:p w14:paraId="0418E9CB" w14:textId="77777777" w:rsidR="00914C8F" w:rsidRDefault="00072CB4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or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U</m:t>
          </m:r>
        </m:oMath>
      </m:oMathPara>
    </w:p>
    <w:p w14:paraId="4ACDB490" w14:textId="77777777" w:rsidR="00914C8F" w:rsidRDefault="00072CB4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denotes the EUR/USD rate,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1.05</m:t>
        </m:r>
      </m:oMath>
      <w:r>
        <w:t xml:space="preserve"> (lower barrier), and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1.25</m:t>
        </m:r>
      </m:oMath>
      <w:r>
        <w:t xml:space="preserve"> (upper barrier).</w:t>
      </w:r>
    </w:p>
    <w:p w14:paraId="5094CB68" w14:textId="77777777" w:rsidR="00914C8F" w:rsidRDefault="00072CB4">
      <w:pPr>
        <w:pStyle w:val="BodyText"/>
      </w:pPr>
      <w:r>
        <w:t>The stopping time is defined as:</w:t>
      </w:r>
    </w:p>
    <w:p w14:paraId="774C3F7A" w14:textId="77777777" w:rsidR="00914C8F" w:rsidRDefault="00072CB4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KO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=inf{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)}</m:t>
          </m:r>
        </m:oMath>
      </m:oMathPara>
    </w:p>
    <w:p w14:paraId="432C1E56" w14:textId="77777777" w:rsidR="00914C8F" w:rsidRDefault="00072CB4">
      <w:pPr>
        <w:pStyle w:val="FirstParagraph"/>
      </w:pPr>
      <w:r>
        <w:t xml:space="preserve">Settlement occurs at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=min(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KO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where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years.</w:t>
      </w:r>
    </w:p>
    <w:p w14:paraId="0E949C31" w14:textId="77777777" w:rsidR="00914C8F" w:rsidRDefault="00072CB4">
      <w:pPr>
        <w:pStyle w:val="Heading1"/>
      </w:pPr>
      <w:bookmarkStart w:id="8" w:name="_Toc219838993"/>
      <w:bookmarkStart w:id="9" w:name="mathematical-framework"/>
      <w:bookmarkEnd w:id="3"/>
      <w:bookmarkEnd w:id="7"/>
      <w:r>
        <w:rPr>
          <w:rStyle w:val="SectionNumber"/>
        </w:rPr>
        <w:t>3</w:t>
      </w:r>
      <w:r>
        <w:tab/>
        <w:t>Mathematical Framework</w:t>
      </w:r>
      <w:bookmarkEnd w:id="8"/>
    </w:p>
    <w:p w14:paraId="7638BA32" w14:textId="77777777" w:rsidR="00914C8F" w:rsidRDefault="00072CB4">
      <w:pPr>
        <w:pStyle w:val="Heading2"/>
      </w:pPr>
      <w:bookmarkStart w:id="10" w:name="_Toc219838994"/>
      <w:bookmarkStart w:id="11" w:name="stochastic-model"/>
      <w:r>
        <w:rPr>
          <w:rStyle w:val="SectionNumber"/>
        </w:rPr>
        <w:t>3.1</w:t>
      </w:r>
      <w:r>
        <w:tab/>
        <w:t>Stochastic Model</w:t>
      </w:r>
      <w:bookmarkEnd w:id="10"/>
    </w:p>
    <w:p w14:paraId="794C0B6B" w14:textId="77777777" w:rsidR="00914C8F" w:rsidRDefault="00072CB4">
      <w:pPr>
        <w:pStyle w:val="FirstParagraph"/>
      </w:pPr>
      <w:r>
        <w:t xml:space="preserve">Both underlying assets follow geometric Brownian motion under the risk-neutral measure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Q</m:t>
        </m:r>
      </m:oMath>
      <w:r>
        <w:t>.</w:t>
      </w:r>
    </w:p>
    <w:p w14:paraId="755F006E" w14:textId="77777777" w:rsidR="00914C8F" w:rsidRDefault="00072CB4">
      <w:pPr>
        <w:pStyle w:val="BodyText"/>
      </w:pPr>
      <w:r>
        <w:rPr>
          <w:b/>
          <w:bCs/>
        </w:rPr>
        <w:t>Gold Price Dynamics (USD):</w:t>
      </w:r>
    </w:p>
    <w:p w14:paraId="58A05FD7" w14:textId="77777777" w:rsidR="00914C8F" w:rsidRDefault="00072CB4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USD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</m:oMath>
      </m:oMathPara>
    </w:p>
    <w:p w14:paraId="1B8999E4" w14:textId="77777777" w:rsidR="00914C8F" w:rsidRDefault="00072CB4">
      <w:pPr>
        <w:pStyle w:val="FirstParagraph"/>
      </w:pPr>
      <w:r>
        <w:rPr>
          <w:b/>
          <w:bCs/>
        </w:rPr>
        <w:t>EUR/USD Exchange Rate:</w:t>
      </w:r>
    </w:p>
    <w:p w14:paraId="08E1910E" w14:textId="77777777" w:rsidR="00914C8F" w:rsidRDefault="00072CB4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EUR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USD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</m:oMath>
      </m:oMathPara>
    </w:p>
    <w:p w14:paraId="508675AA" w14:textId="77777777" w:rsidR="00914C8F" w:rsidRDefault="00072CB4">
      <w:pPr>
        <w:pStyle w:val="FirstParagraph"/>
      </w:pPr>
      <w:r>
        <w:rPr>
          <w:b/>
          <w:bCs/>
        </w:rPr>
        <w:t>Correlation Structure:</w:t>
      </w:r>
    </w:p>
    <w:p w14:paraId="515CE1B5" w14:textId="77777777" w:rsidR="00914C8F" w:rsidRDefault="00072CB4"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dt</m:t>
          </m:r>
        </m:oMath>
      </m:oMathPara>
    </w:p>
    <w:p w14:paraId="734BCC9E" w14:textId="77777777" w:rsidR="00914C8F" w:rsidRDefault="00072CB4">
      <w:pPr>
        <w:pStyle w:val="Heading2"/>
      </w:pPr>
      <w:bookmarkStart w:id="12" w:name="_Toc219838995"/>
      <w:bookmarkStart w:id="13" w:name="parameter-estimates"/>
      <w:bookmarkEnd w:id="11"/>
      <w:r>
        <w:rPr>
          <w:rStyle w:val="SectionNumber"/>
        </w:rPr>
        <w:t>3.2</w:t>
      </w:r>
      <w:r>
        <w:tab/>
        <w:t>Parameter Estimates</w:t>
      </w:r>
      <w:bookmarkEnd w:id="1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9"/>
        <w:gridCol w:w="995"/>
        <w:gridCol w:w="1630"/>
        <w:gridCol w:w="2874"/>
      </w:tblGrid>
      <w:tr w:rsidR="00914C8F" w14:paraId="0D4C7638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F5D0DF" w14:textId="77777777" w:rsidR="00914C8F" w:rsidRDefault="00072CB4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1A5ABE13" w14:textId="77777777" w:rsidR="00914C8F" w:rsidRDefault="00072CB4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263AA82F" w14:textId="77777777" w:rsidR="00914C8F" w:rsidRDefault="00072CB4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3352DF47" w14:textId="77777777" w:rsidR="00914C8F" w:rsidRDefault="00072CB4">
            <w:pPr>
              <w:pStyle w:val="Compact"/>
            </w:pPr>
            <w:r>
              <w:t>Source</w:t>
            </w:r>
          </w:p>
        </w:tc>
      </w:tr>
      <w:tr w:rsidR="00914C8F" w14:paraId="1C3BAEFD" w14:textId="77777777">
        <w:tc>
          <w:tcPr>
            <w:tcW w:w="0" w:type="auto"/>
          </w:tcPr>
          <w:p w14:paraId="49600A80" w14:textId="77777777" w:rsidR="00914C8F" w:rsidRDefault="00072CB4">
            <w:pPr>
              <w:pStyle w:val="Compact"/>
            </w:pPr>
            <w:r>
              <w:t>Gold spot</w:t>
            </w:r>
          </w:p>
        </w:tc>
        <w:tc>
          <w:tcPr>
            <w:tcW w:w="0" w:type="auto"/>
          </w:tcPr>
          <w:p w14:paraId="047FA745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040C295" w14:textId="77777777" w:rsidR="00B17825" w:rsidRDefault="00072CB4">
            <w:r>
              <w:t>USD 4,900/oz</w:t>
            </w:r>
          </w:p>
        </w:tc>
        <w:tc>
          <w:tcPr>
            <w:tcW w:w="0" w:type="auto"/>
          </w:tcPr>
          <w:p w14:paraId="3F7590AA" w14:textId="77777777" w:rsidR="00B17825" w:rsidRDefault="00072CB4">
            <w:r>
              <w:t>LBMA Feb 2026</w:t>
            </w:r>
          </w:p>
        </w:tc>
      </w:tr>
      <w:tr w:rsidR="00914C8F" w14:paraId="546C7F81" w14:textId="77777777">
        <w:tc>
          <w:tcPr>
            <w:tcW w:w="0" w:type="auto"/>
          </w:tcPr>
          <w:p w14:paraId="38B4E299" w14:textId="77777777" w:rsidR="00914C8F" w:rsidRDefault="00072CB4">
            <w:pPr>
              <w:pStyle w:val="Compact"/>
            </w:pPr>
            <w:r>
              <w:t>EUR/USD spot</w:t>
            </w:r>
          </w:p>
        </w:tc>
        <w:tc>
          <w:tcPr>
            <w:tcW w:w="0" w:type="auto"/>
          </w:tcPr>
          <w:p w14:paraId="0E65D463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3919468" w14:textId="77777777" w:rsidR="00B17825" w:rsidRDefault="00072CB4">
            <w:r>
              <w:t>1.19</w:t>
            </w:r>
          </w:p>
        </w:tc>
        <w:tc>
          <w:tcPr>
            <w:tcW w:w="0" w:type="auto"/>
          </w:tcPr>
          <w:p w14:paraId="32F74DB2" w14:textId="77777777" w:rsidR="00B17825" w:rsidRDefault="00072CB4">
            <w:r>
              <w:t>ECB reference</w:t>
            </w:r>
          </w:p>
        </w:tc>
      </w:tr>
      <w:tr w:rsidR="00914C8F" w14:paraId="1E1EBB6F" w14:textId="77777777">
        <w:tc>
          <w:tcPr>
            <w:tcW w:w="0" w:type="auto"/>
          </w:tcPr>
          <w:p w14:paraId="61644989" w14:textId="77777777" w:rsidR="00914C8F" w:rsidRDefault="00072CB4">
            <w:pPr>
              <w:pStyle w:val="Compact"/>
            </w:pPr>
            <w:r>
              <w:t>USD risk-free rate</w:t>
            </w:r>
          </w:p>
        </w:tc>
        <w:tc>
          <w:tcPr>
            <w:tcW w:w="0" w:type="auto"/>
          </w:tcPr>
          <w:p w14:paraId="5F65E628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USD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3B811E" w14:textId="77777777" w:rsidR="00B17825" w:rsidRDefault="00072CB4">
            <w:r>
              <w:t>4.25%</w:t>
            </w:r>
          </w:p>
        </w:tc>
        <w:tc>
          <w:tcPr>
            <w:tcW w:w="0" w:type="auto"/>
          </w:tcPr>
          <w:p w14:paraId="7CD54E03" w14:textId="77777777" w:rsidR="00914C8F" w:rsidRDefault="00072CB4">
            <w:pPr>
              <w:pStyle w:val="Compact"/>
            </w:pPr>
            <w:r>
              <w:t>OIS curve</w:t>
            </w:r>
          </w:p>
        </w:tc>
      </w:tr>
      <w:tr w:rsidR="00914C8F" w14:paraId="65C309BF" w14:textId="77777777">
        <w:tc>
          <w:tcPr>
            <w:tcW w:w="0" w:type="auto"/>
          </w:tcPr>
          <w:p w14:paraId="1C094BD9" w14:textId="77777777" w:rsidR="00914C8F" w:rsidRDefault="00072CB4">
            <w:pPr>
              <w:pStyle w:val="Compact"/>
            </w:pPr>
            <w:r>
              <w:t>EUR risk-free rate</w:t>
            </w:r>
          </w:p>
        </w:tc>
        <w:tc>
          <w:tcPr>
            <w:tcW w:w="0" w:type="auto"/>
          </w:tcPr>
          <w:p w14:paraId="2BAF71FD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EUR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4B4CC8F" w14:textId="77777777" w:rsidR="00914C8F" w:rsidRDefault="00072CB4">
            <w:pPr>
              <w:pStyle w:val="Compact"/>
            </w:pPr>
            <w:r>
              <w:t>2.5%</w:t>
            </w:r>
          </w:p>
        </w:tc>
        <w:tc>
          <w:tcPr>
            <w:tcW w:w="0" w:type="auto"/>
          </w:tcPr>
          <w:p w14:paraId="27182EAA" w14:textId="77777777" w:rsidR="00914C8F" w:rsidRDefault="00072CB4">
            <w:pPr>
              <w:pStyle w:val="Compact"/>
            </w:pPr>
            <w:r>
              <w:t>OIS curve</w:t>
            </w:r>
          </w:p>
        </w:tc>
      </w:tr>
      <w:tr w:rsidR="00914C8F" w14:paraId="3DC2B976" w14:textId="77777777">
        <w:tc>
          <w:tcPr>
            <w:tcW w:w="0" w:type="auto"/>
          </w:tcPr>
          <w:p w14:paraId="0659C400" w14:textId="77777777" w:rsidR="00914C8F" w:rsidRDefault="00072CB4">
            <w:pPr>
              <w:pStyle w:val="Compact"/>
            </w:pPr>
            <w:r>
              <w:t>Gold volatility</w:t>
            </w:r>
          </w:p>
        </w:tc>
        <w:tc>
          <w:tcPr>
            <w:tcW w:w="0" w:type="auto"/>
          </w:tcPr>
          <w:p w14:paraId="3CC0DEC9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E2F93FE" w14:textId="77777777" w:rsidR="00B17825" w:rsidRDefault="00072CB4">
            <w:r>
              <w:t>28%</w:t>
            </w:r>
          </w:p>
        </w:tc>
        <w:tc>
          <w:tcPr>
            <w:tcW w:w="0" w:type="auto"/>
          </w:tcPr>
          <w:p w14:paraId="124D6259" w14:textId="77777777" w:rsidR="00B17825" w:rsidRDefault="00072CB4">
            <w:r>
              <w:t>1Y ATM implied (elevated)</w:t>
            </w:r>
          </w:p>
        </w:tc>
      </w:tr>
      <w:tr w:rsidR="00914C8F" w14:paraId="1BFD279B" w14:textId="77777777">
        <w:tc>
          <w:tcPr>
            <w:tcW w:w="0" w:type="auto"/>
          </w:tcPr>
          <w:p w14:paraId="7251C87E" w14:textId="77777777" w:rsidR="00914C8F" w:rsidRDefault="00072CB4">
            <w:pPr>
              <w:pStyle w:val="Compact"/>
            </w:pPr>
            <w:r>
              <w:t>EUR/USD volatility</w:t>
            </w:r>
          </w:p>
        </w:tc>
        <w:tc>
          <w:tcPr>
            <w:tcW w:w="0" w:type="auto"/>
          </w:tcPr>
          <w:p w14:paraId="468587CE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BB7B13F" w14:textId="77777777" w:rsidR="00B17825" w:rsidRDefault="00072CB4">
            <w:r>
              <w:t>10%</w:t>
            </w:r>
          </w:p>
        </w:tc>
        <w:tc>
          <w:tcPr>
            <w:tcW w:w="0" w:type="auto"/>
          </w:tcPr>
          <w:p w14:paraId="21177556" w14:textId="77777777" w:rsidR="00914C8F" w:rsidRDefault="00072CB4">
            <w:pPr>
              <w:pStyle w:val="Compact"/>
            </w:pPr>
            <w:r>
              <w:t>1Y ATM implied</w:t>
            </w:r>
          </w:p>
        </w:tc>
      </w:tr>
      <w:tr w:rsidR="00914C8F" w14:paraId="6FD57283" w14:textId="77777777">
        <w:tc>
          <w:tcPr>
            <w:tcW w:w="0" w:type="auto"/>
          </w:tcPr>
          <w:p w14:paraId="59E52419" w14:textId="77777777" w:rsidR="00914C8F" w:rsidRDefault="00072CB4">
            <w:pPr>
              <w:pStyle w:val="Compact"/>
            </w:pPr>
            <w:r>
              <w:t>Correlation</w:t>
            </w:r>
          </w:p>
        </w:tc>
        <w:tc>
          <w:tcPr>
            <w:tcW w:w="0" w:type="auto"/>
          </w:tcPr>
          <w:p w14:paraId="46A6B52A" w14:textId="77777777" w:rsidR="00914C8F" w:rsidRDefault="00072CB4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  <w:tc>
          <w:tcPr>
            <w:tcW w:w="0" w:type="auto"/>
          </w:tcPr>
          <w:p w14:paraId="0480DD2F" w14:textId="77777777" w:rsidR="00B17825" w:rsidRDefault="00072CB4">
            <w:r>
              <w:t>−</w:t>
            </w:r>
            <w:r>
              <w:t>0.30</w:t>
            </w:r>
          </w:p>
        </w:tc>
        <w:tc>
          <w:tcPr>
            <w:tcW w:w="0" w:type="auto"/>
          </w:tcPr>
          <w:p w14:paraId="5EB20E24" w14:textId="77777777" w:rsidR="00914C8F" w:rsidRDefault="00072CB4">
            <w:pPr>
              <w:pStyle w:val="Compact"/>
            </w:pPr>
            <w:r>
              <w:t>1Y historical</w:t>
            </w:r>
          </w:p>
        </w:tc>
      </w:tr>
      <w:tr w:rsidR="00914C8F" w14:paraId="2C07B2D0" w14:textId="77777777">
        <w:tc>
          <w:tcPr>
            <w:tcW w:w="0" w:type="auto"/>
          </w:tcPr>
          <w:p w14:paraId="6A96F9F5" w14:textId="77777777" w:rsidR="00914C8F" w:rsidRDefault="00072CB4">
            <w:pPr>
              <w:pStyle w:val="Compact"/>
            </w:pPr>
            <w:r>
              <w:t>Gold convenience yield</w:t>
            </w:r>
          </w:p>
        </w:tc>
        <w:tc>
          <w:tcPr>
            <w:tcW w:w="0" w:type="auto"/>
          </w:tcPr>
          <w:p w14:paraId="3D001B46" w14:textId="77777777" w:rsidR="00914C8F" w:rsidRDefault="00072CB4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14:paraId="48231C27" w14:textId="77777777" w:rsidR="00914C8F" w:rsidRDefault="00072CB4">
            <w:pPr>
              <w:pStyle w:val="Compact"/>
            </w:pPr>
            <w:r>
              <w:t>0.5%</w:t>
            </w:r>
          </w:p>
        </w:tc>
        <w:tc>
          <w:tcPr>
            <w:tcW w:w="0" w:type="auto"/>
          </w:tcPr>
          <w:p w14:paraId="05FBE833" w14:textId="77777777" w:rsidR="00914C8F" w:rsidRDefault="00072CB4">
            <w:pPr>
              <w:pStyle w:val="Compact"/>
            </w:pPr>
            <w:r>
              <w:t>GOFO proxy</w:t>
            </w:r>
          </w:p>
        </w:tc>
      </w:tr>
    </w:tbl>
    <w:p w14:paraId="3E639793" w14:textId="77777777" w:rsidR="00914C8F" w:rsidRDefault="00072CB4">
      <w:pPr>
        <w:pStyle w:val="Heading2"/>
      </w:pPr>
      <w:bookmarkStart w:id="14" w:name="_Toc219838996"/>
      <w:bookmarkStart w:id="15" w:name="risk-neutral-valuation"/>
      <w:bookmarkEnd w:id="13"/>
      <w:r>
        <w:rPr>
          <w:rStyle w:val="SectionNumber"/>
        </w:rPr>
        <w:t>3.3</w:t>
      </w:r>
      <w:r>
        <w:tab/>
      </w:r>
      <w:r>
        <w:t>Risk-Neutral Valuation</w:t>
      </w:r>
      <w:bookmarkEnd w:id="14"/>
    </w:p>
    <w:p w14:paraId="0DBABD38" w14:textId="77777777" w:rsidR="00914C8F" w:rsidRDefault="00072CB4">
      <w:pPr>
        <w:pStyle w:val="FirstParagraph"/>
      </w:pPr>
      <w:r>
        <w:t>The present value under the EUR risk-neutral measure:</w:t>
      </w:r>
    </w:p>
    <w:p w14:paraId="4FF9C683" w14:textId="77777777" w:rsidR="00914C8F" w:rsidRDefault="00072CB4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EUR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τ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Payoff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</m:oMath>
      </m:oMathPara>
    </w:p>
    <w:p w14:paraId="3C418022" w14:textId="77777777" w:rsidR="00914C8F" w:rsidRDefault="00072CB4">
      <w:pPr>
        <w:pStyle w:val="FirstParagraph"/>
      </w:pPr>
      <w:r>
        <w:t>The path-dependent barrier feature precludes closed-form solutions, necessitating Monte Carlo methods.</w:t>
      </w:r>
    </w:p>
    <w:p w14:paraId="37DD6B73" w14:textId="77777777" w:rsidR="00914C8F" w:rsidRDefault="00072CB4">
      <w:pPr>
        <w:pStyle w:val="Heading1"/>
      </w:pPr>
      <w:bookmarkStart w:id="16" w:name="_Toc219838997"/>
      <w:bookmarkStart w:id="17" w:name="numerical-implementation"/>
      <w:bookmarkEnd w:id="9"/>
      <w:bookmarkEnd w:id="15"/>
      <w:r>
        <w:rPr>
          <w:rStyle w:val="SectionNumber"/>
        </w:rPr>
        <w:t>4</w:t>
      </w:r>
      <w:r>
        <w:tab/>
        <w:t>Numerical Implementation</w:t>
      </w:r>
      <w:bookmarkEnd w:id="16"/>
    </w:p>
    <w:p w14:paraId="446FDF1D" w14:textId="77777777" w:rsidR="00914C8F" w:rsidRDefault="00072CB4">
      <w:pPr>
        <w:pStyle w:val="Heading2"/>
      </w:pPr>
      <w:bookmarkStart w:id="18" w:name="_Toc219838998"/>
      <w:bookmarkStart w:id="19" w:name="simulation-methodology"/>
      <w:r>
        <w:rPr>
          <w:rStyle w:val="SectionNumber"/>
        </w:rPr>
        <w:t>4.1</w:t>
      </w:r>
      <w:r>
        <w:tab/>
        <w:t>Simulation Methodology</w:t>
      </w:r>
      <w:bookmarkEnd w:id="18"/>
    </w:p>
    <w:p w14:paraId="12CF2831" w14:textId="77777777" w:rsidR="00914C8F" w:rsidRDefault="00072CB4">
      <w:pPr>
        <w:pStyle w:val="FirstParagraph"/>
      </w:pPr>
      <w:r>
        <w:t>We employ Monte Carlo simulation with the following specifications: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32"/>
        <w:gridCol w:w="2311"/>
        <w:gridCol w:w="3633"/>
      </w:tblGrid>
      <w:tr w:rsidR="00914C8F" w14:paraId="27647122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4" w:type="dxa"/>
          </w:tcPr>
          <w:p w14:paraId="30458C4F" w14:textId="77777777" w:rsidR="00914C8F" w:rsidRDefault="00072CB4">
            <w:pPr>
              <w:pStyle w:val="Compact"/>
            </w:pPr>
            <w:r>
              <w:t>Parameter</w:t>
            </w:r>
          </w:p>
        </w:tc>
        <w:tc>
          <w:tcPr>
            <w:tcW w:w="1911" w:type="dxa"/>
          </w:tcPr>
          <w:p w14:paraId="7724887D" w14:textId="77777777" w:rsidR="00914C8F" w:rsidRDefault="00072CB4">
            <w:pPr>
              <w:pStyle w:val="Compact"/>
            </w:pPr>
            <w:r>
              <w:t>Value</w:t>
            </w:r>
          </w:p>
        </w:tc>
        <w:tc>
          <w:tcPr>
            <w:tcW w:w="3004" w:type="dxa"/>
          </w:tcPr>
          <w:p w14:paraId="4F9522CA" w14:textId="77777777" w:rsidR="00914C8F" w:rsidRDefault="00072CB4">
            <w:pPr>
              <w:pStyle w:val="Compact"/>
            </w:pPr>
            <w:r>
              <w:t>Rationale</w:t>
            </w:r>
          </w:p>
        </w:tc>
      </w:tr>
      <w:tr w:rsidR="00914C8F" w14:paraId="05E65963" w14:textId="77777777">
        <w:tc>
          <w:tcPr>
            <w:tcW w:w="3004" w:type="dxa"/>
          </w:tcPr>
          <w:p w14:paraId="5354DF58" w14:textId="77777777" w:rsidR="00914C8F" w:rsidRDefault="00072CB4">
            <w:pPr>
              <w:pStyle w:val="Compact"/>
            </w:pPr>
            <w:r>
              <w:t>Simulation paths</w:t>
            </w:r>
          </w:p>
        </w:tc>
        <w:tc>
          <w:tcPr>
            <w:tcW w:w="1911" w:type="dxa"/>
          </w:tcPr>
          <w:p w14:paraId="7A09236F" w14:textId="77777777" w:rsidR="00914C8F" w:rsidRDefault="00072CB4">
            <w:pPr>
              <w:pStyle w:val="Compact"/>
            </w:pPr>
            <w:r>
              <w:t>100,000</w:t>
            </w:r>
          </w:p>
        </w:tc>
        <w:tc>
          <w:tcPr>
            <w:tcW w:w="3004" w:type="dxa"/>
          </w:tcPr>
          <w:p w14:paraId="4BA14BD0" w14:textId="77777777" w:rsidR="00914C8F" w:rsidRDefault="00072CB4">
            <w:pPr>
              <w:pStyle w:val="Compact"/>
            </w:pPr>
            <w:r>
              <w:t>Adequate precision for indicative pricing</w:t>
            </w:r>
          </w:p>
        </w:tc>
      </w:tr>
      <w:tr w:rsidR="00914C8F" w14:paraId="3F2606FA" w14:textId="77777777">
        <w:tc>
          <w:tcPr>
            <w:tcW w:w="3004" w:type="dxa"/>
          </w:tcPr>
          <w:p w14:paraId="70FFD0E0" w14:textId="77777777" w:rsidR="00914C8F" w:rsidRDefault="00072CB4">
            <w:pPr>
              <w:pStyle w:val="Compact"/>
            </w:pPr>
            <w:r>
              <w:t>Time steps</w:t>
            </w:r>
          </w:p>
        </w:tc>
        <w:tc>
          <w:tcPr>
            <w:tcW w:w="1911" w:type="dxa"/>
          </w:tcPr>
          <w:p w14:paraId="20FD1E22" w14:textId="77777777" w:rsidR="00914C8F" w:rsidRDefault="00072CB4">
            <w:pPr>
              <w:pStyle w:val="Compact"/>
            </w:pPr>
            <w:r>
              <w:t>504</w:t>
            </w:r>
          </w:p>
        </w:tc>
        <w:tc>
          <w:tcPr>
            <w:tcW w:w="3004" w:type="dxa"/>
          </w:tcPr>
          <w:p w14:paraId="2979C277" w14:textId="77777777" w:rsidR="00914C8F" w:rsidRDefault="00072CB4">
            <w:pPr>
              <w:pStyle w:val="Compact"/>
            </w:pPr>
            <w:r>
              <w:t>Daily monitoring over 2 years</w:t>
            </w:r>
          </w:p>
        </w:tc>
      </w:tr>
      <w:tr w:rsidR="00914C8F" w14:paraId="1C634B81" w14:textId="77777777">
        <w:tc>
          <w:tcPr>
            <w:tcW w:w="3004" w:type="dxa"/>
          </w:tcPr>
          <w:p w14:paraId="30E6840E" w14:textId="77777777" w:rsidR="00914C8F" w:rsidRDefault="00072CB4">
            <w:pPr>
              <w:pStyle w:val="Compact"/>
            </w:pPr>
            <w:r>
              <w:t>Random seed</w:t>
            </w:r>
          </w:p>
        </w:tc>
        <w:tc>
          <w:tcPr>
            <w:tcW w:w="1911" w:type="dxa"/>
          </w:tcPr>
          <w:p w14:paraId="1664E1C2" w14:textId="77777777" w:rsidR="00914C8F" w:rsidRDefault="00072CB4">
            <w:pPr>
              <w:pStyle w:val="Compact"/>
            </w:pPr>
            <w:r>
              <w:t>Fixed</w:t>
            </w:r>
          </w:p>
        </w:tc>
        <w:tc>
          <w:tcPr>
            <w:tcW w:w="3004" w:type="dxa"/>
          </w:tcPr>
          <w:p w14:paraId="37358CB2" w14:textId="77777777" w:rsidR="00914C8F" w:rsidRDefault="00072CB4">
            <w:pPr>
              <w:pStyle w:val="Compact"/>
            </w:pPr>
            <w:r>
              <w:t>Reproducibility</w:t>
            </w:r>
          </w:p>
        </w:tc>
      </w:tr>
    </w:tbl>
    <w:p w14:paraId="2854483D" w14:textId="77777777" w:rsidR="00914C8F" w:rsidRDefault="00072CB4">
      <w:pPr>
        <w:pStyle w:val="BodyText"/>
      </w:pPr>
      <w:r>
        <w:rPr>
          <w:b/>
          <w:bCs/>
        </w:rPr>
        <w:t>Discretization Scheme</w:t>
      </w:r>
    </w:p>
    <w:p w14:paraId="446424BA" w14:textId="77777777" w:rsidR="00914C8F" w:rsidRDefault="00072CB4">
      <w:pPr>
        <w:pStyle w:val="BodyText"/>
      </w:pPr>
      <w:r>
        <w:t>Asset prices are simulated using the exact log-normal solution:</w:t>
      </w:r>
    </w:p>
    <w:p w14:paraId="50E1C1DF" w14:textId="77777777" w:rsidR="00914C8F" w:rsidRDefault="00072CB4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+Δ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rad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7FD75ABB" w14:textId="77777777" w:rsidR="00914C8F" w:rsidRDefault="00072CB4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+Δ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rad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3C0A628" w14:textId="77777777" w:rsidR="00914C8F" w:rsidRDefault="00072CB4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are correlated standard normals generated via Cholesky decomposition:</w:t>
      </w:r>
    </w:p>
    <w:p w14:paraId="10B30781" w14:textId="77777777" w:rsidR="00914C8F" w:rsidRDefault="00072CB4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⟂</m:t>
              </m:r>
            </m:sub>
          </m:sSub>
        </m:oMath>
      </m:oMathPara>
    </w:p>
    <w:p w14:paraId="3F339177" w14:textId="77777777" w:rsidR="00914C8F" w:rsidRDefault="00072CB4">
      <w:pPr>
        <w:pStyle w:val="Heading2"/>
      </w:pPr>
      <w:bookmarkStart w:id="20" w:name="_Toc219838999"/>
      <w:bookmarkStart w:id="21" w:name="variance-reduction"/>
      <w:bookmarkEnd w:id="19"/>
      <w:r>
        <w:rPr>
          <w:rStyle w:val="SectionNumber"/>
        </w:rPr>
        <w:t>4.2</w:t>
      </w:r>
      <w:r>
        <w:tab/>
        <w:t>Variance Reduction</w:t>
      </w:r>
      <w:bookmarkEnd w:id="20"/>
    </w:p>
    <w:p w14:paraId="38606583" w14:textId="77777777" w:rsidR="00914C8F" w:rsidRDefault="00072CB4">
      <w:pPr>
        <w:pStyle w:val="FirstParagraph"/>
      </w:pPr>
      <w:r>
        <w:t>Two techniques are implemented to improve computational efficiency:</w:t>
      </w:r>
    </w:p>
    <w:p w14:paraId="65231FEA" w14:textId="77777777" w:rsidR="00914C8F" w:rsidRDefault="00072CB4">
      <w:pPr>
        <w:pStyle w:val="BodyText"/>
      </w:pPr>
      <w:r>
        <w:rPr>
          <w:b/>
          <w:bCs/>
        </w:rPr>
        <w:t>Antithetic Variates:</w:t>
      </w:r>
      <w:r>
        <w:t xml:space="preserve"> For each path with innovations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, we also simulate the reflected path </w:t>
      </w:r>
      <m:oMath>
        <m:r>
          <m:rPr>
            <m:sty m:val="p"/>
          </m:rPr>
          <w:rPr>
            <w:rFonts w:ascii="Cambria Math" w:hAnsi="Cambria Math"/>
          </w:rPr>
          <m:t>{-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>. The negative correlation between paired paths reduces variance.</w:t>
      </w:r>
    </w:p>
    <w:p w14:paraId="0F8C3F3C" w14:textId="77777777" w:rsidR="00914C8F" w:rsidRDefault="00072CB4">
      <w:pPr>
        <w:pStyle w:val="BodyText"/>
      </w:pPr>
      <w:r>
        <w:rPr>
          <w:b/>
          <w:bCs/>
        </w:rPr>
        <w:t>Control Variate:</w:t>
      </w:r>
      <w:r>
        <w:t xml:space="preserve"> The vanilla gold forward (without barriers) serves as a control:</w:t>
      </w:r>
    </w:p>
    <w:p w14:paraId="12629181" w14:textId="77777777" w:rsidR="00914C8F" w:rsidRDefault="00072CB4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adj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exotic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vanilla</m:t>
                  </m:r>
                </m:sub>
                <m:sup>
                  <m:r>
                    <w:rPr>
                      <w:rFonts w:ascii="Cambria Math" w:hAnsi="Cambria Math"/>
                    </w:rPr>
                    <m:t>analytical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vanilla</m:t>
                  </m:r>
                </m:sub>
              </m:sSub>
            </m:e>
          </m:d>
        </m:oMath>
      </m:oMathPara>
    </w:p>
    <w:p w14:paraId="6A74B7E2" w14:textId="77777777" w:rsidR="00914C8F" w:rsidRDefault="00072CB4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β</m:t>
        </m:r>
      </m:oMath>
      <w:r>
        <w:t xml:space="preserve"> is the optimal control coefficient estimated from sample covariance.</w:t>
      </w:r>
    </w:p>
    <w:p w14:paraId="1ABF57E2" w14:textId="77777777" w:rsidR="00914C8F" w:rsidRDefault="00072CB4">
      <w:pPr>
        <w:pStyle w:val="BodyText"/>
      </w:pPr>
      <w:r>
        <w:t>Combined, these techniques reduce standard errors by approximately 60%.</w:t>
      </w:r>
    </w:p>
    <w:p w14:paraId="399B3977" w14:textId="77777777" w:rsidR="00914C8F" w:rsidRDefault="00072CB4">
      <w:pPr>
        <w:pStyle w:val="Heading1"/>
      </w:pPr>
      <w:bookmarkStart w:id="22" w:name="_Toc219839000"/>
      <w:bookmarkStart w:id="23" w:name="pricing-results"/>
      <w:bookmarkEnd w:id="17"/>
      <w:bookmarkEnd w:id="21"/>
      <w:r>
        <w:rPr>
          <w:rStyle w:val="SectionNumber"/>
        </w:rPr>
        <w:t>5</w:t>
      </w:r>
      <w:r>
        <w:tab/>
        <w:t>Pricing Results</w:t>
      </w:r>
      <w:bookmarkEnd w:id="22"/>
    </w:p>
    <w:p w14:paraId="12F86532" w14:textId="77777777" w:rsidR="00914C8F" w:rsidRDefault="00072CB4">
      <w:pPr>
        <w:pStyle w:val="Heading2"/>
      </w:pPr>
      <w:bookmarkStart w:id="24" w:name="_Toc219839001"/>
      <w:bookmarkStart w:id="25" w:name="base-case-valuation"/>
      <w:r>
        <w:rPr>
          <w:rStyle w:val="SectionNumber"/>
        </w:rPr>
        <w:t>5.1</w:t>
      </w:r>
      <w:r>
        <w:tab/>
        <w:t>Base Case Valuation</w:t>
      </w:r>
      <w:bookmarkEnd w:id="2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3"/>
        <w:gridCol w:w="2017"/>
      </w:tblGrid>
      <w:tr w:rsidR="00914C8F" w14:paraId="4783F2FE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4EF645" w14:textId="77777777" w:rsidR="00914C8F" w:rsidRDefault="00072CB4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64A9D5F" w14:textId="77777777" w:rsidR="00914C8F" w:rsidRDefault="00072CB4">
            <w:pPr>
              <w:pStyle w:val="Compact"/>
            </w:pPr>
            <w:r>
              <w:t>Value</w:t>
            </w:r>
          </w:p>
        </w:tc>
      </w:tr>
      <w:tr w:rsidR="00914C8F" w14:paraId="62F4B052" w14:textId="77777777">
        <w:tc>
          <w:tcPr>
            <w:tcW w:w="0" w:type="auto"/>
          </w:tcPr>
          <w:p w14:paraId="2C0DDDEE" w14:textId="77777777" w:rsidR="00914C8F" w:rsidRDefault="00072CB4">
            <w:pPr>
              <w:pStyle w:val="Compact"/>
            </w:pPr>
            <w:r>
              <w:t>Z Group Present Value</w:t>
            </w:r>
          </w:p>
        </w:tc>
        <w:tc>
          <w:tcPr>
            <w:tcW w:w="0" w:type="auto"/>
          </w:tcPr>
          <w:p w14:paraId="2B07BD44" w14:textId="77777777" w:rsidR="00B17825" w:rsidRDefault="00072CB4">
            <w:r>
              <w:t>EUR +46,330,626</w:t>
            </w:r>
          </w:p>
        </w:tc>
      </w:tr>
      <w:tr w:rsidR="00914C8F" w14:paraId="62F8DC98" w14:textId="77777777">
        <w:tc>
          <w:tcPr>
            <w:tcW w:w="0" w:type="auto"/>
          </w:tcPr>
          <w:p w14:paraId="601D12BA" w14:textId="77777777" w:rsidR="00914C8F" w:rsidRDefault="00072CB4">
            <w:pPr>
              <w:pStyle w:val="Compact"/>
            </w:pPr>
            <w:r>
              <w:t>Alphabank Present Value</w:t>
            </w:r>
          </w:p>
        </w:tc>
        <w:tc>
          <w:tcPr>
            <w:tcW w:w="0" w:type="auto"/>
          </w:tcPr>
          <w:p w14:paraId="56645AB6" w14:textId="77777777" w:rsidR="00B17825" w:rsidRDefault="00072CB4">
            <w:r>
              <w:t>EUR −46,330,626</w:t>
            </w:r>
          </w:p>
        </w:tc>
      </w:tr>
      <w:tr w:rsidR="00914C8F" w14:paraId="06543A2F" w14:textId="77777777">
        <w:tc>
          <w:tcPr>
            <w:tcW w:w="0" w:type="auto"/>
          </w:tcPr>
          <w:p w14:paraId="0033A351" w14:textId="77777777" w:rsidR="00914C8F" w:rsidRDefault="00072CB4">
            <w:pPr>
              <w:pStyle w:val="Compact"/>
            </w:pPr>
            <w:r>
              <w:t>Standard Error</w:t>
            </w:r>
          </w:p>
        </w:tc>
        <w:tc>
          <w:tcPr>
            <w:tcW w:w="0" w:type="auto"/>
          </w:tcPr>
          <w:p w14:paraId="580D03B6" w14:textId="77777777" w:rsidR="00B17825" w:rsidRDefault="00072CB4">
            <w:r>
              <w:t>EUR 414,104</w:t>
            </w:r>
          </w:p>
        </w:tc>
      </w:tr>
      <w:tr w:rsidR="00914C8F" w14:paraId="4B519A1C" w14:textId="77777777">
        <w:tc>
          <w:tcPr>
            <w:tcW w:w="0" w:type="auto"/>
          </w:tcPr>
          <w:p w14:paraId="6848CF80" w14:textId="77777777" w:rsidR="00914C8F" w:rsidRDefault="00072CB4">
            <w:pPr>
              <w:pStyle w:val="Compact"/>
            </w:pPr>
            <w:r>
              <w:t>95% Confidence Interval</w:t>
            </w:r>
          </w:p>
        </w:tc>
        <w:tc>
          <w:tcPr>
            <w:tcW w:w="0" w:type="auto"/>
          </w:tcPr>
          <w:p w14:paraId="4C4D44B4" w14:textId="77777777" w:rsidR="00B17825" w:rsidRDefault="00072CB4">
            <w:r>
              <w:t>[+45.5M, +47.1M]</w:t>
            </w:r>
          </w:p>
        </w:tc>
      </w:tr>
    </w:tbl>
    <w:p w14:paraId="14921385" w14:textId="77777777" w:rsidR="00B17825" w:rsidRDefault="00072CB4">
      <w:r>
        <w:rPr>
          <w:b/>
        </w:rPr>
        <w:t>Valuation Change Summary:</w:t>
      </w:r>
    </w:p>
    <w:p w14:paraId="430385A5" w14:textId="77777777" w:rsidR="00B17825" w:rsidRDefault="00072CB4">
      <w:pPr>
        <w:spacing w:after="240"/>
      </w:pPr>
      <w:r>
        <w:rPr>
          <w:i/>
        </w:rPr>
        <w:t>The table above reflects UPDATED February 2026 market conditions. For comparison, the original January 2026 valuation showed Z Group PV of EUR −192M with 86% lower barrier breaches. The shift to EUR +46M (with 60% upper barrier breaches) represents a total swing of approximately EUR 238 million in Z Group's favor.</w:t>
      </w:r>
    </w:p>
    <w:p w14:paraId="792AEAD9" w14:textId="77777777" w:rsidR="00914C8F" w:rsidRDefault="00072CB4">
      <w:pPr>
        <w:pStyle w:val="Heading2"/>
      </w:pPr>
      <w:bookmarkStart w:id="26" w:name="_Toc219839002"/>
      <w:bookmarkStart w:id="27" w:name="barrier-analysis"/>
      <w:bookmarkEnd w:id="25"/>
      <w:r>
        <w:rPr>
          <w:rStyle w:val="SectionNumber"/>
        </w:rPr>
        <w:t>5.2</w:t>
      </w:r>
      <w:r>
        <w:tab/>
        <w:t>Barrier Analysis</w:t>
      </w:r>
      <w:bookmarkEnd w:id="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6"/>
        <w:gridCol w:w="2637"/>
      </w:tblGrid>
      <w:tr w:rsidR="00914C8F" w14:paraId="32C033E1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8073D9" w14:textId="77777777" w:rsidR="00914C8F" w:rsidRDefault="00072CB4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20E95720" w14:textId="77777777" w:rsidR="00914C8F" w:rsidRDefault="00072CB4">
            <w:pPr>
              <w:pStyle w:val="Compact"/>
            </w:pPr>
            <w:r>
              <w:t>Value</w:t>
            </w:r>
          </w:p>
        </w:tc>
      </w:tr>
      <w:tr w:rsidR="00914C8F" w14:paraId="124BD3DD" w14:textId="77777777">
        <w:tc>
          <w:tcPr>
            <w:tcW w:w="0" w:type="auto"/>
          </w:tcPr>
          <w:p w14:paraId="1292FCA2" w14:textId="77777777" w:rsidR="00914C8F" w:rsidRDefault="00072CB4">
            <w:pPr>
              <w:pStyle w:val="Compact"/>
            </w:pPr>
            <w:r>
              <w:t>Overall Knock-Out Rate</w:t>
            </w:r>
          </w:p>
        </w:tc>
        <w:tc>
          <w:tcPr>
            <w:tcW w:w="0" w:type="auto"/>
          </w:tcPr>
          <w:p w14:paraId="2BF287AD" w14:textId="77777777" w:rsidR="00B17825" w:rsidRDefault="00072CB4">
            <w:r>
              <w:t>94.77%</w:t>
            </w:r>
          </w:p>
        </w:tc>
      </w:tr>
      <w:tr w:rsidR="00914C8F" w14:paraId="612EE9EB" w14:textId="77777777">
        <w:tc>
          <w:tcPr>
            <w:tcW w:w="0" w:type="auto"/>
          </w:tcPr>
          <w:p w14:paraId="020B7ADD" w14:textId="77777777" w:rsidR="00914C8F" w:rsidRDefault="00072CB4">
            <w:pPr>
              <w:pStyle w:val="Compact"/>
            </w:pPr>
            <w:r>
              <w:t>Lower Barrier Breaches</w:t>
            </w:r>
          </w:p>
        </w:tc>
        <w:tc>
          <w:tcPr>
            <w:tcW w:w="0" w:type="auto"/>
          </w:tcPr>
          <w:p w14:paraId="0D751EE5" w14:textId="77777777" w:rsidR="00B17825" w:rsidRDefault="00072CB4">
            <w:r>
              <w:t>34.83%</w:t>
            </w:r>
          </w:p>
        </w:tc>
      </w:tr>
      <w:tr w:rsidR="00914C8F" w14:paraId="6FD44358" w14:textId="77777777">
        <w:tc>
          <w:tcPr>
            <w:tcW w:w="0" w:type="auto"/>
          </w:tcPr>
          <w:p w14:paraId="5FD0CC16" w14:textId="77777777" w:rsidR="00914C8F" w:rsidRDefault="00072CB4">
            <w:pPr>
              <w:pStyle w:val="Compact"/>
            </w:pPr>
            <w:r>
              <w:t>Upper Barrier Breaches</w:t>
            </w:r>
          </w:p>
        </w:tc>
        <w:tc>
          <w:tcPr>
            <w:tcW w:w="0" w:type="auto"/>
          </w:tcPr>
          <w:p w14:paraId="68326186" w14:textId="77777777" w:rsidR="00B17825" w:rsidRDefault="00072CB4">
            <w:r>
              <w:t>59.94%</w:t>
            </w:r>
          </w:p>
        </w:tc>
      </w:tr>
      <w:tr w:rsidR="00914C8F" w14:paraId="7ABC9DAD" w14:textId="77777777">
        <w:tc>
          <w:tcPr>
            <w:tcW w:w="0" w:type="auto"/>
          </w:tcPr>
          <w:p w14:paraId="3D2875DD" w14:textId="77777777" w:rsidR="00914C8F" w:rsidRDefault="00072CB4">
            <w:pPr>
              <w:pStyle w:val="Compact"/>
            </w:pPr>
            <w:r>
              <w:t>Average Time to Knock-Out</w:t>
            </w:r>
          </w:p>
        </w:tc>
        <w:tc>
          <w:tcPr>
            <w:tcW w:w="0" w:type="auto"/>
          </w:tcPr>
          <w:p w14:paraId="543E7288" w14:textId="77777777" w:rsidR="00B17825" w:rsidRDefault="00072CB4">
            <w:r>
              <w:t>0.61 years (7.3 months)</w:t>
            </w:r>
          </w:p>
        </w:tc>
      </w:tr>
    </w:tbl>
    <w:p w14:paraId="30F9E09F" w14:textId="77777777" w:rsidR="00914C8F" w:rsidRDefault="00072CB4">
      <w:pPr>
        <w:pStyle w:val="BodyText"/>
      </w:pPr>
      <w:r>
        <w:t xml:space="preserve">The asymmetry between barrier breaches reflects the negative EUR/USD drift implied by interest rate parity.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EUR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USD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annually, the euro faces persistent depreciation pressure, making the lower barrier far more likely to be reached.</w:t>
      </w:r>
    </w:p>
    <w:p w14:paraId="7D2B0774" w14:textId="77777777" w:rsidR="00B17825" w:rsidRDefault="00072CB4">
      <w:pPr>
        <w:spacing w:before="200" w:after="100"/>
        <w:jc w:val="center"/>
      </w:pPr>
      <w:r>
        <w:rPr>
          <w:b/>
          <w:sz w:val="20"/>
          <w:szCs w:val="20"/>
        </w:rPr>
        <w:t>Figure 1: Monte Carlo Simulation Paths — Gold and EUR/USD price evolution with knock-out barrier visualization</w:t>
      </w:r>
    </w:p>
    <w:p w14:paraId="76C9E938" w14:textId="77777777" w:rsidR="00D0531A" w:rsidRDefault="00D0531A" w:rsidP="005A3702">
      <w:pPr>
        <w:rPr>
          <w:rStyle w:val="SectionNumber"/>
        </w:rPr>
      </w:pPr>
      <w:bookmarkStart w:id="28" w:name="convergence-verification"/>
      <w:bookmarkEnd w:id="27"/>
      <w:r w:rsidRPr="005A3702">
        <w:rPr>
          <w:noProof/>
        </w:rPr>
        <w:drawing>
          <wp:inline distT="0" distB="0" distL="0" distR="0" wp14:anchorId="37DA3D54" wp14:editId="4FBC06D1">
            <wp:extent cx="5943600" cy="4231640"/>
            <wp:effectExtent l="0" t="0" r="0" b="0"/>
            <wp:docPr id="8311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1507" name="Picture 831115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01C1" w14:textId="77777777" w:rsidR="005A3702" w:rsidRPr="005A3702" w:rsidRDefault="005A3702" w:rsidP="005A3702">
      <w:pPr>
        <w:pStyle w:val="BodyText"/>
      </w:pPr>
    </w:p>
    <w:p w14:paraId="4A211F0E" w14:textId="77777777" w:rsidR="00914C8F" w:rsidRDefault="00072CB4">
      <w:pPr>
        <w:pStyle w:val="Heading2"/>
      </w:pPr>
      <w:bookmarkStart w:id="29" w:name="_Toc219839003"/>
      <w:r>
        <w:rPr>
          <w:rStyle w:val="SectionNumber"/>
        </w:rPr>
        <w:t>5.3</w:t>
      </w:r>
      <w:r>
        <w:tab/>
        <w:t>Convergence Verification</w:t>
      </w:r>
      <w:bookmarkEnd w:id="29"/>
    </w:p>
    <w:p w14:paraId="73B14309" w14:textId="77777777" w:rsidR="00914C8F" w:rsidRDefault="00072CB4">
      <w:pPr>
        <w:pStyle w:val="FirstParagraph"/>
      </w:pPr>
      <w:r>
        <w:t>Monte Carlo estimates stabilize as path counts increase: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4"/>
        <w:gridCol w:w="1715"/>
        <w:gridCol w:w="1722"/>
      </w:tblGrid>
      <w:tr w:rsidR="00914C8F" w14:paraId="43103386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65A022" w14:textId="77777777" w:rsidR="00914C8F" w:rsidRDefault="00072CB4">
            <w:pPr>
              <w:pStyle w:val="Compact"/>
            </w:pPr>
            <w:r>
              <w:t>Paths</w:t>
            </w:r>
          </w:p>
        </w:tc>
        <w:tc>
          <w:tcPr>
            <w:tcW w:w="0" w:type="auto"/>
          </w:tcPr>
          <w:p w14:paraId="3FBD3FE6" w14:textId="77777777" w:rsidR="00914C8F" w:rsidRDefault="00072CB4">
            <w:pPr>
              <w:pStyle w:val="Compact"/>
            </w:pPr>
            <w:r>
              <w:t>Price Estimate</w:t>
            </w:r>
          </w:p>
        </w:tc>
        <w:tc>
          <w:tcPr>
            <w:tcW w:w="0" w:type="auto"/>
          </w:tcPr>
          <w:p w14:paraId="5A4924A8" w14:textId="77777777" w:rsidR="00914C8F" w:rsidRDefault="00072CB4">
            <w:pPr>
              <w:pStyle w:val="Compact"/>
            </w:pPr>
            <w:r>
              <w:t>Standard Error</w:t>
            </w:r>
          </w:p>
        </w:tc>
      </w:tr>
      <w:tr w:rsidR="00914C8F" w14:paraId="135EC029" w14:textId="77777777">
        <w:tc>
          <w:tcPr>
            <w:tcW w:w="0" w:type="auto"/>
          </w:tcPr>
          <w:p w14:paraId="5F956422" w14:textId="77777777" w:rsidR="00914C8F" w:rsidRDefault="00072CB4">
            <w:pPr>
              <w:pStyle w:val="Compact"/>
            </w:pPr>
            <w:r>
              <w:t>5,000</w:t>
            </w:r>
          </w:p>
        </w:tc>
        <w:tc>
          <w:tcPr>
            <w:tcW w:w="0" w:type="auto"/>
          </w:tcPr>
          <w:p w14:paraId="012F5EFF" w14:textId="77777777" w:rsidR="00914C8F" w:rsidRDefault="00072CB4">
            <w:pPr>
              <w:pStyle w:val="Compact"/>
            </w:pPr>
            <w:r>
              <w:t>EUR −191.4M</w:t>
            </w:r>
          </w:p>
        </w:tc>
        <w:tc>
          <w:tcPr>
            <w:tcW w:w="0" w:type="auto"/>
          </w:tcPr>
          <w:p w14:paraId="115C0CAB" w14:textId="77777777" w:rsidR="00914C8F" w:rsidRDefault="00072CB4">
            <w:pPr>
              <w:pStyle w:val="Compact"/>
            </w:pPr>
            <w:r>
              <w:t>EUR 551K</w:t>
            </w:r>
          </w:p>
        </w:tc>
      </w:tr>
      <w:tr w:rsidR="00914C8F" w14:paraId="14043D49" w14:textId="77777777">
        <w:tc>
          <w:tcPr>
            <w:tcW w:w="0" w:type="auto"/>
          </w:tcPr>
          <w:p w14:paraId="34FEA12D" w14:textId="77777777" w:rsidR="00914C8F" w:rsidRDefault="00072CB4">
            <w:pPr>
              <w:pStyle w:val="Compact"/>
            </w:pPr>
            <w:r>
              <w:t>10,000</w:t>
            </w:r>
          </w:p>
        </w:tc>
        <w:tc>
          <w:tcPr>
            <w:tcW w:w="0" w:type="auto"/>
          </w:tcPr>
          <w:p w14:paraId="277A06FD" w14:textId="77777777" w:rsidR="00914C8F" w:rsidRDefault="00072CB4">
            <w:pPr>
              <w:pStyle w:val="Compact"/>
            </w:pPr>
            <w:r>
              <w:t>EUR −191.7M</w:t>
            </w:r>
          </w:p>
        </w:tc>
        <w:tc>
          <w:tcPr>
            <w:tcW w:w="0" w:type="auto"/>
          </w:tcPr>
          <w:p w14:paraId="0F6AEC9F" w14:textId="77777777" w:rsidR="00914C8F" w:rsidRDefault="00072CB4">
            <w:pPr>
              <w:pStyle w:val="Compact"/>
            </w:pPr>
            <w:r>
              <w:t>EUR 381K</w:t>
            </w:r>
          </w:p>
        </w:tc>
      </w:tr>
      <w:tr w:rsidR="00914C8F" w14:paraId="5E09F3A1" w14:textId="77777777">
        <w:tc>
          <w:tcPr>
            <w:tcW w:w="0" w:type="auto"/>
          </w:tcPr>
          <w:p w14:paraId="01AFC71E" w14:textId="77777777" w:rsidR="00914C8F" w:rsidRDefault="00072CB4">
            <w:pPr>
              <w:pStyle w:val="Compact"/>
            </w:pPr>
            <w:r>
              <w:t>25,000</w:t>
            </w:r>
          </w:p>
        </w:tc>
        <w:tc>
          <w:tcPr>
            <w:tcW w:w="0" w:type="auto"/>
          </w:tcPr>
          <w:p w14:paraId="4F767E76" w14:textId="77777777" w:rsidR="00914C8F" w:rsidRDefault="00072CB4">
            <w:pPr>
              <w:pStyle w:val="Compact"/>
            </w:pPr>
            <w:r>
              <w:t>EUR −191.8M</w:t>
            </w:r>
          </w:p>
        </w:tc>
        <w:tc>
          <w:tcPr>
            <w:tcW w:w="0" w:type="auto"/>
          </w:tcPr>
          <w:p w14:paraId="0FDE4BAD" w14:textId="77777777" w:rsidR="00914C8F" w:rsidRDefault="00072CB4">
            <w:pPr>
              <w:pStyle w:val="Compact"/>
            </w:pPr>
            <w:r>
              <w:t>EUR 247K</w:t>
            </w:r>
          </w:p>
        </w:tc>
      </w:tr>
      <w:tr w:rsidR="00914C8F" w14:paraId="3F620388" w14:textId="77777777">
        <w:tc>
          <w:tcPr>
            <w:tcW w:w="0" w:type="auto"/>
          </w:tcPr>
          <w:p w14:paraId="3ED441C7" w14:textId="77777777" w:rsidR="00914C8F" w:rsidRDefault="00072CB4">
            <w:pPr>
              <w:pStyle w:val="Compact"/>
            </w:pPr>
            <w:r>
              <w:t>50,000</w:t>
            </w:r>
          </w:p>
        </w:tc>
        <w:tc>
          <w:tcPr>
            <w:tcW w:w="0" w:type="auto"/>
          </w:tcPr>
          <w:p w14:paraId="6FEC4469" w14:textId="77777777" w:rsidR="00914C8F" w:rsidRDefault="00072CB4">
            <w:pPr>
              <w:pStyle w:val="Compact"/>
            </w:pPr>
            <w:r>
              <w:t>EUR −192.1M</w:t>
            </w:r>
          </w:p>
        </w:tc>
        <w:tc>
          <w:tcPr>
            <w:tcW w:w="0" w:type="auto"/>
          </w:tcPr>
          <w:p w14:paraId="5609572B" w14:textId="77777777" w:rsidR="00914C8F" w:rsidRDefault="00072CB4">
            <w:pPr>
              <w:pStyle w:val="Compact"/>
            </w:pPr>
            <w:r>
              <w:t>EUR 174K</w:t>
            </w:r>
          </w:p>
        </w:tc>
      </w:tr>
      <w:tr w:rsidR="00914C8F" w14:paraId="68815A34" w14:textId="77777777">
        <w:tc>
          <w:tcPr>
            <w:tcW w:w="0" w:type="auto"/>
          </w:tcPr>
          <w:p w14:paraId="2E2E5C5D" w14:textId="77777777" w:rsidR="00914C8F" w:rsidRDefault="00072CB4">
            <w:pPr>
              <w:pStyle w:val="Compact"/>
            </w:pPr>
            <w:r>
              <w:t>100,000</w:t>
            </w:r>
          </w:p>
        </w:tc>
        <w:tc>
          <w:tcPr>
            <w:tcW w:w="0" w:type="auto"/>
          </w:tcPr>
          <w:p w14:paraId="439A1B1A" w14:textId="77777777" w:rsidR="00914C8F" w:rsidRDefault="00072CB4">
            <w:pPr>
              <w:pStyle w:val="Compact"/>
            </w:pPr>
            <w:r>
              <w:t>EUR −191.9M</w:t>
            </w:r>
          </w:p>
        </w:tc>
        <w:tc>
          <w:tcPr>
            <w:tcW w:w="0" w:type="auto"/>
          </w:tcPr>
          <w:p w14:paraId="0A0E7A95" w14:textId="77777777" w:rsidR="00914C8F" w:rsidRDefault="00072CB4">
            <w:pPr>
              <w:pStyle w:val="Compact"/>
            </w:pPr>
            <w:r>
              <w:t>EUR 124K</w:t>
            </w:r>
          </w:p>
        </w:tc>
      </w:tr>
    </w:tbl>
    <w:p w14:paraId="456E5FF2" w14:textId="77777777" w:rsidR="00914C8F" w:rsidRDefault="00072CB4">
      <w:pPr>
        <w:pStyle w:val="BodyText"/>
      </w:pPr>
      <w:r>
        <w:t xml:space="preserve">Standard errors decay proportionally to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>, confirming proper convergence behavior.</w:t>
      </w:r>
    </w:p>
    <w:p w14:paraId="3663A5B3" w14:textId="77777777" w:rsidR="00B17825" w:rsidRDefault="00072CB4">
      <w:pPr>
        <w:spacing w:before="200" w:after="100"/>
        <w:jc w:val="center"/>
      </w:pPr>
      <w:r>
        <w:rPr>
          <w:b/>
          <w:sz w:val="20"/>
          <w:szCs w:val="20"/>
        </w:rPr>
        <w:t>Figure 2: Convergence Analysis — Monte Carlo price stability across increasing path counts</w:t>
      </w:r>
    </w:p>
    <w:p w14:paraId="27D89540" w14:textId="77777777" w:rsidR="00D0531A" w:rsidRDefault="00D0531A" w:rsidP="005A3702">
      <w:pPr>
        <w:rPr>
          <w:rStyle w:val="SectionNumber"/>
        </w:rPr>
      </w:pPr>
      <w:bookmarkStart w:id="30" w:name="critical-assessment"/>
      <w:bookmarkEnd w:id="23"/>
      <w:bookmarkEnd w:id="28"/>
      <w:r w:rsidRPr="005A3702">
        <w:rPr>
          <w:noProof/>
        </w:rPr>
        <w:drawing>
          <wp:inline distT="0" distB="0" distL="0" distR="0" wp14:anchorId="1CB748C8" wp14:editId="27219E20">
            <wp:extent cx="5943600" cy="2444115"/>
            <wp:effectExtent l="0" t="0" r="0" b="0"/>
            <wp:docPr id="1476439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39519" name="Picture 14764395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8E32" w14:textId="77777777" w:rsidR="00914C8F" w:rsidRDefault="00072CB4">
      <w:pPr>
        <w:pStyle w:val="Heading1"/>
      </w:pPr>
      <w:bookmarkStart w:id="31" w:name="_Toc219839004"/>
      <w:r>
        <w:rPr>
          <w:rStyle w:val="SectionNumber"/>
        </w:rPr>
        <w:t>6</w:t>
      </w:r>
      <w:r>
        <w:tab/>
        <w:t>Critical Assessment</w:t>
      </w:r>
      <w:bookmarkEnd w:id="31"/>
    </w:p>
    <w:p w14:paraId="2075D4C1" w14:textId="77777777" w:rsidR="00914C8F" w:rsidRDefault="00072CB4">
      <w:pPr>
        <w:pStyle w:val="Heading2"/>
      </w:pPr>
      <w:bookmarkStart w:id="32" w:name="_Toc219839005"/>
      <w:bookmarkStart w:id="33" w:name="strike-price-analysis"/>
      <w:r>
        <w:rPr>
          <w:rStyle w:val="SectionNumber"/>
        </w:rPr>
        <w:t>6.1</w:t>
      </w:r>
      <w:r>
        <w:tab/>
        <w:t>Strike Price Analysis</w:t>
      </w:r>
      <w:bookmarkEnd w:id="32"/>
    </w:p>
    <w:p w14:paraId="636FB99E" w14:textId="77777777" w:rsidR="00914C8F" w:rsidRDefault="00072CB4">
      <w:pPr>
        <w:pStyle w:val="FirstParagraph"/>
      </w:pPr>
      <w:r>
        <w:t>The specified strike of USD 4,600/oz warrants careful examination.</w:t>
      </w:r>
    </w:p>
    <w:p w14:paraId="5030C381" w14:textId="77777777" w:rsidR="00914C8F" w:rsidRDefault="00072CB4">
      <w:pPr>
        <w:pStyle w:val="BodyText"/>
      </w:pPr>
      <w:r>
        <w:rPr>
          <w:b/>
          <w:bCs/>
        </w:rPr>
        <w:t>Forward Price Calculation:</w:t>
      </w:r>
    </w:p>
    <w:p w14:paraId="79C91549" w14:textId="77777777" w:rsidR="00914C8F" w:rsidRDefault="00072CB4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USD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2750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0.045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0.005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>
              <m:nor/>
            </m:rPr>
            <m:t xml:space="preserve">USD 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979</m:t>
          </m:r>
          <m:r>
            <m:rPr>
              <m:nor/>
            </m:rPr>
            <m:t>/oz</m:t>
          </m:r>
        </m:oMath>
      </m:oMathPara>
    </w:p>
    <w:p w14:paraId="3242812A" w14:textId="77777777" w:rsidR="00914C8F" w:rsidRDefault="00072CB4">
      <w:pPr>
        <w:pStyle w:val="FirstParagraph"/>
      </w:pPr>
      <w:r>
        <w:t>With current gold at $4,900/oz, the strike of $4,600 is now 6.5% BELOW spot price. This means Z Group is in-the-money with an intrinsic value of EUR 32.6 million. The product economics have completely reversed from the original assessment.</w:t>
      </w:r>
    </w:p>
    <w:p w14:paraId="3C61F476" w14:textId="77777777" w:rsidR="00914C8F" w:rsidRDefault="00072CB4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Moneyness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2979</m:t>
              </m:r>
            </m:num>
            <m:den>
              <m:r>
                <w:rPr>
                  <w:rFonts w:ascii="Cambria Math" w:hAnsi="Cambria Math"/>
                </w:rPr>
                <m:t>4600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64.8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14EC224B" w14:textId="77777777" w:rsidR="00914C8F" w:rsidRDefault="00072CB4">
      <w:pPr>
        <w:pStyle w:val="FirstParagraph"/>
      </w:pPr>
      <w:r>
        <w:rPr>
          <w:b/>
          <w:bCs/>
        </w:rPr>
        <w:t>Alternative Strike Analysis: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2421"/>
        <w:gridCol w:w="1410"/>
      </w:tblGrid>
      <w:tr w:rsidR="00914C8F" w14:paraId="0AECB12E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EC5F67" w14:textId="77777777" w:rsidR="00914C8F" w:rsidRDefault="00072CB4">
            <w:pPr>
              <w:pStyle w:val="Compact"/>
            </w:pPr>
            <w:r>
              <w:t>Strike</w:t>
            </w:r>
          </w:p>
        </w:tc>
        <w:tc>
          <w:tcPr>
            <w:tcW w:w="0" w:type="auto"/>
          </w:tcPr>
          <w:p w14:paraId="2414C930" w14:textId="77777777" w:rsidR="00914C8F" w:rsidRDefault="00072CB4">
            <w:pPr>
              <w:pStyle w:val="Compact"/>
            </w:pPr>
            <w:r>
              <w:t>Forward Relationship</w:t>
            </w:r>
          </w:p>
        </w:tc>
        <w:tc>
          <w:tcPr>
            <w:tcW w:w="0" w:type="auto"/>
          </w:tcPr>
          <w:p w14:paraId="4C76F6F3" w14:textId="77777777" w:rsidR="00914C8F" w:rsidRDefault="00072CB4">
            <w:pPr>
              <w:pStyle w:val="Compact"/>
            </w:pPr>
            <w:r>
              <w:t>Z Group PV</w:t>
            </w:r>
          </w:p>
        </w:tc>
      </w:tr>
      <w:tr w:rsidR="00914C8F" w14:paraId="17C7D45C" w14:textId="77777777">
        <w:tc>
          <w:tcPr>
            <w:tcW w:w="0" w:type="auto"/>
          </w:tcPr>
          <w:p w14:paraId="3555F094" w14:textId="77777777" w:rsidR="00914C8F" w:rsidRDefault="00072CB4">
            <w:pPr>
              <w:pStyle w:val="Compact"/>
            </w:pPr>
            <w:r>
              <w:t>USD 2,800</w:t>
            </w:r>
          </w:p>
        </w:tc>
        <w:tc>
          <w:tcPr>
            <w:tcW w:w="0" w:type="auto"/>
          </w:tcPr>
          <w:p w14:paraId="3CFB2074" w14:textId="77777777" w:rsidR="00914C8F" w:rsidRDefault="00072CB4">
            <w:pPr>
              <w:pStyle w:val="Compact"/>
            </w:pPr>
            <w:r>
              <w:t>6% below forward</w:t>
            </w:r>
          </w:p>
        </w:tc>
        <w:tc>
          <w:tcPr>
            <w:tcW w:w="0" w:type="auto"/>
          </w:tcPr>
          <w:p w14:paraId="0918CEF2" w14:textId="77777777" w:rsidR="00914C8F" w:rsidRDefault="00072CB4">
            <w:pPr>
              <w:pStyle w:val="Compact"/>
            </w:pPr>
            <w:r>
              <w:t>EUR +2M</w:t>
            </w:r>
          </w:p>
        </w:tc>
      </w:tr>
      <w:tr w:rsidR="00914C8F" w14:paraId="150476A8" w14:textId="77777777">
        <w:tc>
          <w:tcPr>
            <w:tcW w:w="0" w:type="auto"/>
          </w:tcPr>
          <w:p w14:paraId="682A9AF8" w14:textId="77777777" w:rsidR="00914C8F" w:rsidRDefault="00072CB4">
            <w:pPr>
              <w:pStyle w:val="Compact"/>
            </w:pPr>
            <w:r>
              <w:t>USD 3,000</w:t>
            </w:r>
          </w:p>
        </w:tc>
        <w:tc>
          <w:tcPr>
            <w:tcW w:w="0" w:type="auto"/>
          </w:tcPr>
          <w:p w14:paraId="45881C39" w14:textId="77777777" w:rsidR="00914C8F" w:rsidRDefault="00072CB4">
            <w:pPr>
              <w:pStyle w:val="Compact"/>
            </w:pPr>
            <w:r>
              <w:t>At-the-money</w:t>
            </w:r>
          </w:p>
        </w:tc>
        <w:tc>
          <w:tcPr>
            <w:tcW w:w="0" w:type="auto"/>
          </w:tcPr>
          <w:p w14:paraId="11AF816A" w14:textId="77777777" w:rsidR="00914C8F" w:rsidRDefault="00072CB4">
            <w:pPr>
              <w:pStyle w:val="Compact"/>
            </w:pPr>
            <w:r>
              <w:t>EUR −31M</w:t>
            </w:r>
          </w:p>
        </w:tc>
      </w:tr>
      <w:tr w:rsidR="00914C8F" w14:paraId="5582CB96" w14:textId="77777777">
        <w:tc>
          <w:tcPr>
            <w:tcW w:w="0" w:type="auto"/>
          </w:tcPr>
          <w:p w14:paraId="6748D8E1" w14:textId="77777777" w:rsidR="00914C8F" w:rsidRDefault="00072CB4">
            <w:pPr>
              <w:pStyle w:val="Compact"/>
            </w:pPr>
            <w:r>
              <w:t>USD 3,500</w:t>
            </w:r>
          </w:p>
        </w:tc>
        <w:tc>
          <w:tcPr>
            <w:tcW w:w="0" w:type="auto"/>
          </w:tcPr>
          <w:p w14:paraId="70B52560" w14:textId="77777777" w:rsidR="00914C8F" w:rsidRDefault="00072CB4">
            <w:pPr>
              <w:pStyle w:val="Compact"/>
            </w:pPr>
            <w:r>
              <w:t>17% above forward</w:t>
            </w:r>
          </w:p>
        </w:tc>
        <w:tc>
          <w:tcPr>
            <w:tcW w:w="0" w:type="auto"/>
          </w:tcPr>
          <w:p w14:paraId="7067B474" w14:textId="77777777" w:rsidR="00914C8F" w:rsidRDefault="00072CB4">
            <w:pPr>
              <w:pStyle w:val="Compact"/>
            </w:pPr>
            <w:r>
              <w:t>EUR −97M</w:t>
            </w:r>
          </w:p>
        </w:tc>
      </w:tr>
      <w:tr w:rsidR="00914C8F" w14:paraId="182CD894" w14:textId="77777777">
        <w:tc>
          <w:tcPr>
            <w:tcW w:w="0" w:type="auto"/>
          </w:tcPr>
          <w:p w14:paraId="15C926AA" w14:textId="77777777" w:rsidR="00914C8F" w:rsidRDefault="00072CB4">
            <w:pPr>
              <w:pStyle w:val="Compact"/>
            </w:pPr>
            <w:r>
              <w:t>USD 4,600</w:t>
            </w:r>
          </w:p>
        </w:tc>
        <w:tc>
          <w:tcPr>
            <w:tcW w:w="0" w:type="auto"/>
          </w:tcPr>
          <w:p w14:paraId="60DD142F" w14:textId="77777777" w:rsidR="00914C8F" w:rsidRDefault="00072CB4">
            <w:pPr>
              <w:pStyle w:val="Compact"/>
            </w:pPr>
            <w:r>
              <w:t>54% above forward</w:t>
            </w:r>
          </w:p>
        </w:tc>
        <w:tc>
          <w:tcPr>
            <w:tcW w:w="0" w:type="auto"/>
          </w:tcPr>
          <w:p w14:paraId="1C5C3368" w14:textId="77777777" w:rsidR="00914C8F" w:rsidRDefault="00072CB4">
            <w:pPr>
              <w:pStyle w:val="Compact"/>
            </w:pPr>
            <w:r>
              <w:t>EUR −192M</w:t>
            </w:r>
          </w:p>
        </w:tc>
      </w:tr>
    </w:tbl>
    <w:p w14:paraId="0B7D574C" w14:textId="77777777" w:rsidR="00B17825" w:rsidRDefault="00072CB4">
      <w:pPr>
        <w:spacing w:before="200" w:after="100"/>
        <w:jc w:val="center"/>
      </w:pPr>
      <w:r>
        <w:rPr>
          <w:b/>
          <w:sz w:val="20"/>
          <w:szCs w:val="20"/>
        </w:rPr>
        <w:t>Figure 3: Strike Price Sensitivity — Z Group valuation across alternative strike levels</w:t>
      </w:r>
    </w:p>
    <w:p w14:paraId="628AB48E" w14:textId="77777777" w:rsidR="00D0531A" w:rsidRDefault="00D0531A" w:rsidP="005A3702">
      <w:pPr>
        <w:rPr>
          <w:rStyle w:val="SectionNumber"/>
        </w:rPr>
      </w:pPr>
      <w:bookmarkStart w:id="34" w:name="barrier-configuration"/>
      <w:bookmarkEnd w:id="33"/>
      <w:r w:rsidRPr="005A3702">
        <w:rPr>
          <w:noProof/>
        </w:rPr>
        <w:drawing>
          <wp:inline distT="0" distB="0" distL="0" distR="0" wp14:anchorId="1EE3018D" wp14:editId="212F1ABE">
            <wp:extent cx="5943600" cy="2084705"/>
            <wp:effectExtent l="0" t="0" r="0" b="0"/>
            <wp:docPr id="2121635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35081" name="Picture 21216350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A365" w14:textId="77777777" w:rsidR="005A3702" w:rsidRDefault="005A3702" w:rsidP="005A3702">
      <w:pPr>
        <w:rPr>
          <w:rStyle w:val="SectionNumber"/>
        </w:rPr>
      </w:pPr>
    </w:p>
    <w:p w14:paraId="1DB2448B" w14:textId="77777777" w:rsidR="00914C8F" w:rsidRDefault="00072CB4">
      <w:pPr>
        <w:pStyle w:val="Heading2"/>
      </w:pPr>
      <w:bookmarkStart w:id="35" w:name="_Toc219839006"/>
      <w:r>
        <w:rPr>
          <w:rStyle w:val="SectionNumber"/>
        </w:rPr>
        <w:t>6.2</w:t>
      </w:r>
      <w:r>
        <w:tab/>
        <w:t>Barrier Configuration</w:t>
      </w:r>
      <w:bookmarkEnd w:id="35"/>
    </w:p>
    <w:p w14:paraId="5AFC3CB8" w14:textId="77777777" w:rsidR="00914C8F" w:rsidRDefault="00072CB4">
      <w:pPr>
        <w:pStyle w:val="FirstParagraph"/>
      </w:pPr>
      <w:r>
        <w:t>The UPPER barrier at 1.25 now sits only 5.0% above current spot (1.19). This proximity to the upper barrier dominates the risk profile, with 60% of knockouts now expected to breach the upper barrier versus 35% for the lower barrier. Any further EUR strengthening would trigger early termination and crystallize Z Group's gains.</w:t>
      </w:r>
    </w:p>
    <w:p w14:paraId="19B24FD7" w14:textId="77777777" w:rsidR="00914C8F" w:rsidRDefault="00072CB4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Distance to Lower Barrier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1.08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1.05</m:t>
              </m:r>
            </m:num>
            <m:den>
              <m:r>
                <w:rPr>
                  <w:rFonts w:ascii="Cambria Math" w:hAnsi="Cambria Math"/>
                </w:rPr>
                <m:t>1.08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2.78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68AD9B48" w14:textId="77777777" w:rsidR="00914C8F" w:rsidRDefault="00072CB4">
      <w:pPr>
        <w:pStyle w:val="FirstParagraph"/>
      </w:pPr>
      <w:r>
        <w:t>Given 8% annual EUR/USD volatility and negative drift, barrier breach is near-certain over a two-year horizon.</w:t>
      </w:r>
    </w:p>
    <w:p w14:paraId="672B117D" w14:textId="77777777" w:rsidR="00914C8F" w:rsidRDefault="00072CB4">
      <w:pPr>
        <w:pStyle w:val="BodyText"/>
      </w:pPr>
      <w:r>
        <w:rPr>
          <w:b/>
          <w:bCs/>
        </w:rPr>
        <w:t>Alternative Configurations: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1"/>
        <w:gridCol w:w="1855"/>
        <w:gridCol w:w="2137"/>
      </w:tblGrid>
      <w:tr w:rsidR="00914C8F" w14:paraId="733FB10F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4ADDAB" w14:textId="77777777" w:rsidR="00914C8F" w:rsidRDefault="00072CB4">
            <w:pPr>
              <w:pStyle w:val="Compact"/>
            </w:pPr>
            <w:r>
              <w:t>Corridor</w:t>
            </w:r>
          </w:p>
        </w:tc>
        <w:tc>
          <w:tcPr>
            <w:tcW w:w="0" w:type="auto"/>
          </w:tcPr>
          <w:p w14:paraId="2526F397" w14:textId="77777777" w:rsidR="00914C8F" w:rsidRDefault="00072CB4">
            <w:pPr>
              <w:pStyle w:val="Compact"/>
            </w:pPr>
            <w:r>
              <w:t>Knock-Out Rate</w:t>
            </w:r>
          </w:p>
        </w:tc>
        <w:tc>
          <w:tcPr>
            <w:tcW w:w="0" w:type="auto"/>
          </w:tcPr>
          <w:p w14:paraId="625BB51B" w14:textId="77777777" w:rsidR="00914C8F" w:rsidRDefault="00072CB4">
            <w:pPr>
              <w:pStyle w:val="Compact"/>
            </w:pPr>
            <w:r>
              <w:t>Expected Duration</w:t>
            </w:r>
          </w:p>
        </w:tc>
      </w:tr>
      <w:tr w:rsidR="00914C8F" w14:paraId="12B66047" w14:textId="77777777">
        <w:tc>
          <w:tcPr>
            <w:tcW w:w="0" w:type="auto"/>
          </w:tcPr>
          <w:p w14:paraId="6D788DFF" w14:textId="77777777" w:rsidR="00914C8F" w:rsidRDefault="00072CB4">
            <w:pPr>
              <w:pStyle w:val="Compact"/>
            </w:pPr>
            <w:r>
              <w:t>[1.05, 1.25]</w:t>
            </w:r>
          </w:p>
        </w:tc>
        <w:tc>
          <w:tcPr>
            <w:tcW w:w="0" w:type="auto"/>
          </w:tcPr>
          <w:p w14:paraId="44EC7216" w14:textId="77777777" w:rsidR="00914C8F" w:rsidRDefault="00072CB4">
            <w:pPr>
              <w:pStyle w:val="Compact"/>
            </w:pPr>
            <w:r>
              <w:t>93%</w:t>
            </w:r>
          </w:p>
        </w:tc>
        <w:tc>
          <w:tcPr>
            <w:tcW w:w="0" w:type="auto"/>
          </w:tcPr>
          <w:p w14:paraId="3DE198F9" w14:textId="77777777" w:rsidR="00914C8F" w:rsidRDefault="00072CB4">
            <w:pPr>
              <w:pStyle w:val="Compact"/>
            </w:pPr>
            <w:r>
              <w:t>5 months</w:t>
            </w:r>
          </w:p>
        </w:tc>
      </w:tr>
      <w:tr w:rsidR="00914C8F" w14:paraId="25506BC9" w14:textId="77777777">
        <w:tc>
          <w:tcPr>
            <w:tcW w:w="0" w:type="auto"/>
          </w:tcPr>
          <w:p w14:paraId="799832C5" w14:textId="77777777" w:rsidR="00914C8F" w:rsidRDefault="00072CB4">
            <w:pPr>
              <w:pStyle w:val="Compact"/>
            </w:pPr>
            <w:r>
              <w:t>[1.00, 1.30]</w:t>
            </w:r>
          </w:p>
        </w:tc>
        <w:tc>
          <w:tcPr>
            <w:tcW w:w="0" w:type="auto"/>
          </w:tcPr>
          <w:p w14:paraId="5EE0AB7F" w14:textId="77777777" w:rsidR="00914C8F" w:rsidRDefault="00072CB4">
            <w:pPr>
              <w:pStyle w:val="Compact"/>
            </w:pPr>
            <w:r>
              <w:t>66%</w:t>
            </w:r>
          </w:p>
        </w:tc>
        <w:tc>
          <w:tcPr>
            <w:tcW w:w="0" w:type="auto"/>
          </w:tcPr>
          <w:p w14:paraId="6C20119C" w14:textId="77777777" w:rsidR="00914C8F" w:rsidRDefault="00072CB4">
            <w:pPr>
              <w:pStyle w:val="Compact"/>
            </w:pPr>
            <w:r>
              <w:t>10 months</w:t>
            </w:r>
          </w:p>
        </w:tc>
      </w:tr>
      <w:tr w:rsidR="00914C8F" w14:paraId="644E79AE" w14:textId="77777777">
        <w:tc>
          <w:tcPr>
            <w:tcW w:w="0" w:type="auto"/>
          </w:tcPr>
          <w:p w14:paraId="1943B6E5" w14:textId="77777777" w:rsidR="00914C8F" w:rsidRDefault="00072CB4">
            <w:pPr>
              <w:pStyle w:val="Compact"/>
            </w:pPr>
            <w:r>
              <w:t>[0.95, 1.35]</w:t>
            </w:r>
          </w:p>
        </w:tc>
        <w:tc>
          <w:tcPr>
            <w:tcW w:w="0" w:type="auto"/>
          </w:tcPr>
          <w:p w14:paraId="55CC1D7F" w14:textId="77777777" w:rsidR="00914C8F" w:rsidRDefault="00072CB4">
            <w:pPr>
              <w:pStyle w:val="Compact"/>
            </w:pPr>
            <w:r>
              <w:t>39%</w:t>
            </w:r>
          </w:p>
        </w:tc>
        <w:tc>
          <w:tcPr>
            <w:tcW w:w="0" w:type="auto"/>
          </w:tcPr>
          <w:p w14:paraId="129474B8" w14:textId="77777777" w:rsidR="00914C8F" w:rsidRDefault="00072CB4">
            <w:pPr>
              <w:pStyle w:val="Compact"/>
            </w:pPr>
            <w:r>
              <w:t>14 months</w:t>
            </w:r>
          </w:p>
        </w:tc>
      </w:tr>
    </w:tbl>
    <w:p w14:paraId="319EE2F3" w14:textId="77777777" w:rsidR="00B17825" w:rsidRDefault="00072CB4">
      <w:pPr>
        <w:spacing w:before="200" w:after="100"/>
        <w:jc w:val="center"/>
      </w:pPr>
      <w:r>
        <w:rPr>
          <w:b/>
          <w:sz w:val="20"/>
          <w:szCs w:val="20"/>
        </w:rPr>
        <w:t>Figure 4: Barrier Configuration Analysis — Knock-out probability for different corridor widths</w:t>
      </w:r>
    </w:p>
    <w:p w14:paraId="37755CD8" w14:textId="77777777" w:rsidR="00D0531A" w:rsidRDefault="00D0531A" w:rsidP="005A3702">
      <w:pPr>
        <w:rPr>
          <w:rStyle w:val="SectionNumber"/>
        </w:rPr>
      </w:pPr>
      <w:bookmarkStart w:id="36" w:name="risk-sensitivities"/>
      <w:bookmarkEnd w:id="30"/>
      <w:bookmarkEnd w:id="34"/>
      <w:r w:rsidRPr="005A3702">
        <w:rPr>
          <w:noProof/>
        </w:rPr>
        <w:drawing>
          <wp:inline distT="0" distB="0" distL="0" distR="0" wp14:anchorId="386409D3" wp14:editId="55FE8B34">
            <wp:extent cx="5943600" cy="2084705"/>
            <wp:effectExtent l="0" t="0" r="0" b="0"/>
            <wp:docPr id="759625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5873" name="Picture 7596258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98C5" w14:textId="77777777" w:rsidR="00914C8F" w:rsidRDefault="00072CB4">
      <w:pPr>
        <w:pStyle w:val="Heading1"/>
      </w:pPr>
      <w:bookmarkStart w:id="37" w:name="_Toc219839007"/>
      <w:r>
        <w:rPr>
          <w:rStyle w:val="SectionNumber"/>
        </w:rPr>
        <w:t>7</w:t>
      </w:r>
      <w:r>
        <w:tab/>
        <w:t>Risk Sensitivities</w:t>
      </w:r>
      <w:bookmarkEnd w:id="37"/>
    </w:p>
    <w:p w14:paraId="032C904B" w14:textId="77777777" w:rsidR="00914C8F" w:rsidRDefault="00072CB4">
      <w:pPr>
        <w:pStyle w:val="Heading2"/>
      </w:pPr>
      <w:bookmarkStart w:id="38" w:name="_Toc219839008"/>
      <w:bookmarkStart w:id="39" w:name="greeks-summary"/>
      <w:r>
        <w:rPr>
          <w:rStyle w:val="SectionNumber"/>
        </w:rPr>
        <w:t>7.1</w:t>
      </w:r>
      <w:r>
        <w:tab/>
        <w:t>Greeks Summary</w:t>
      </w:r>
      <w:bookmarkEnd w:id="3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5"/>
        <w:gridCol w:w="2234"/>
        <w:gridCol w:w="5107"/>
      </w:tblGrid>
      <w:tr w:rsidR="00914C8F" w14:paraId="17694ED9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14:paraId="5FA82EBD" w14:textId="77777777" w:rsidR="00914C8F" w:rsidRDefault="00072CB4">
            <w:pPr>
              <w:pStyle w:val="Compact"/>
            </w:pPr>
            <w:r>
              <w:t>Greek</w:t>
            </w:r>
          </w:p>
        </w:tc>
        <w:tc>
          <w:tcPr>
            <w:tcW w:w="1848" w:type="dxa"/>
          </w:tcPr>
          <w:p w14:paraId="5215E9EB" w14:textId="77777777" w:rsidR="00914C8F" w:rsidRDefault="00072CB4">
            <w:pPr>
              <w:pStyle w:val="Compact"/>
            </w:pPr>
            <w:r>
              <w:t>Value</w:t>
            </w:r>
          </w:p>
        </w:tc>
        <w:tc>
          <w:tcPr>
            <w:tcW w:w="4224" w:type="dxa"/>
          </w:tcPr>
          <w:p w14:paraId="2DBBC45F" w14:textId="77777777" w:rsidR="00914C8F" w:rsidRDefault="00072CB4">
            <w:pPr>
              <w:pStyle w:val="Compact"/>
            </w:pPr>
            <w:r>
              <w:t>Interpretation</w:t>
            </w:r>
          </w:p>
        </w:tc>
      </w:tr>
      <w:tr w:rsidR="00914C8F" w14:paraId="1026B251" w14:textId="77777777">
        <w:tc>
          <w:tcPr>
            <w:tcW w:w="1848" w:type="dxa"/>
          </w:tcPr>
          <w:p w14:paraId="3E02A89C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gold</m:t>
                    </m:r>
                  </m:sub>
                </m:sSub>
              </m:oMath>
            </m:oMathPara>
          </w:p>
        </w:tc>
        <w:tc>
          <w:tcPr>
            <w:tcW w:w="1848" w:type="dxa"/>
          </w:tcPr>
          <w:p w14:paraId="070B30FB" w14:textId="77777777" w:rsidR="00B17825" w:rsidRDefault="00072CB4">
            <w:r>
              <w:t>EUR 109,827 per USD 1</w:t>
            </w:r>
          </w:p>
        </w:tc>
        <w:tc>
          <w:tcPr>
            <w:tcW w:w="4224" w:type="dxa"/>
          </w:tcPr>
          <w:p w14:paraId="5362CB86" w14:textId="77777777" w:rsidR="00914C8F" w:rsidRDefault="00072CB4">
            <w:pPr>
              <w:pStyle w:val="Compact"/>
            </w:pPr>
            <w:r>
              <w:t>First-order gold sensitivity</w:t>
            </w:r>
          </w:p>
        </w:tc>
      </w:tr>
      <w:tr w:rsidR="00914C8F" w14:paraId="730E52E5" w14:textId="77777777">
        <w:tc>
          <w:tcPr>
            <w:tcW w:w="1848" w:type="dxa"/>
          </w:tcPr>
          <w:p w14:paraId="379390B6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gold</m:t>
                    </m:r>
                  </m:sub>
                </m:sSub>
              </m:oMath>
            </m:oMathPara>
          </w:p>
        </w:tc>
        <w:tc>
          <w:tcPr>
            <w:tcW w:w="1848" w:type="dxa"/>
          </w:tcPr>
          <w:p w14:paraId="3323744E" w14:textId="77777777" w:rsidR="00914C8F" w:rsidRDefault="00072CB4">
            <w:pPr>
              <w:pStyle w:val="Compact"/>
            </w:pPr>
            <w:r>
              <w:t>EUR −491</w:t>
            </w:r>
          </w:p>
        </w:tc>
        <w:tc>
          <w:tcPr>
            <w:tcW w:w="4224" w:type="dxa"/>
          </w:tcPr>
          <w:p w14:paraId="7231942C" w14:textId="77777777" w:rsidR="00914C8F" w:rsidRDefault="00072CB4">
            <w:pPr>
              <w:pStyle w:val="Compact"/>
            </w:pPr>
            <w:r>
              <w:t>Gold convexity</w:t>
            </w:r>
          </w:p>
        </w:tc>
      </w:tr>
      <w:tr w:rsidR="00914C8F" w14:paraId="2FCF4A39" w14:textId="77777777">
        <w:tc>
          <w:tcPr>
            <w:tcW w:w="1848" w:type="dxa"/>
          </w:tcPr>
          <w:p w14:paraId="078EFF39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FX</m:t>
                    </m:r>
                  </m:sub>
                </m:sSub>
              </m:oMath>
            </m:oMathPara>
          </w:p>
        </w:tc>
        <w:tc>
          <w:tcPr>
            <w:tcW w:w="1848" w:type="dxa"/>
          </w:tcPr>
          <w:p w14:paraId="13E1F411" w14:textId="77777777" w:rsidR="00B17825" w:rsidRDefault="00072CB4">
            <w:r>
              <w:t>EUR −100.6M per 0.01 FX</w:t>
            </w:r>
          </w:p>
        </w:tc>
        <w:tc>
          <w:tcPr>
            <w:tcW w:w="4224" w:type="dxa"/>
          </w:tcPr>
          <w:p w14:paraId="5E5CF928" w14:textId="77777777" w:rsidR="00B17825" w:rsidRDefault="00072CB4">
            <w:r>
              <w:t>EUR/USD sensitivity (CRITICAL)</w:t>
            </w:r>
          </w:p>
        </w:tc>
      </w:tr>
      <w:tr w:rsidR="00914C8F" w14:paraId="3DB05CC2" w14:textId="77777777">
        <w:tc>
          <w:tcPr>
            <w:tcW w:w="1848" w:type="dxa"/>
          </w:tcPr>
          <w:p w14:paraId="3E5F4C9E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gold</m:t>
                    </m:r>
                  </m:sub>
                </m:sSub>
              </m:oMath>
            </m:oMathPara>
          </w:p>
        </w:tc>
        <w:tc>
          <w:tcPr>
            <w:tcW w:w="1848" w:type="dxa"/>
          </w:tcPr>
          <w:p w14:paraId="690B100E" w14:textId="77777777" w:rsidR="00B17825" w:rsidRDefault="00072CB4">
            <w:r>
              <w:t>EUR +698K per 1% vol</w:t>
            </w:r>
          </w:p>
        </w:tc>
        <w:tc>
          <w:tcPr>
            <w:tcW w:w="4224" w:type="dxa"/>
          </w:tcPr>
          <w:p w14:paraId="6873CDF0" w14:textId="77777777" w:rsidR="00914C8F" w:rsidRDefault="00072CB4">
            <w:pPr>
              <w:pStyle w:val="Compact"/>
            </w:pPr>
            <w:r>
              <w:t>Gold vega</w:t>
            </w:r>
          </w:p>
        </w:tc>
      </w:tr>
      <w:tr w:rsidR="00914C8F" w14:paraId="507BE1A9" w14:textId="77777777">
        <w:tc>
          <w:tcPr>
            <w:tcW w:w="1848" w:type="dxa"/>
          </w:tcPr>
          <w:p w14:paraId="31E35FE2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EUR</m:t>
                    </m:r>
                  </m:sub>
                </m:sSub>
              </m:oMath>
            </m:oMathPara>
          </w:p>
        </w:tc>
        <w:tc>
          <w:tcPr>
            <w:tcW w:w="1848" w:type="dxa"/>
          </w:tcPr>
          <w:p w14:paraId="7AE24008" w14:textId="77777777" w:rsidR="00B17825" w:rsidRDefault="00072CB4">
            <w:r>
              <w:t>EUR +134M per 1bp</w:t>
            </w:r>
          </w:p>
        </w:tc>
        <w:tc>
          <w:tcPr>
            <w:tcW w:w="4224" w:type="dxa"/>
          </w:tcPr>
          <w:p w14:paraId="54BF786D" w14:textId="77777777" w:rsidR="00914C8F" w:rsidRDefault="00072CB4">
            <w:pPr>
              <w:pStyle w:val="Compact"/>
            </w:pPr>
            <w:r>
              <w:t>EUR rate sensitivity</w:t>
            </w:r>
          </w:p>
        </w:tc>
      </w:tr>
    </w:tbl>
    <w:p w14:paraId="3B8CF819" w14:textId="77777777" w:rsidR="00B17825" w:rsidRDefault="00072CB4">
      <w:pPr>
        <w:spacing w:before="200" w:after="100"/>
        <w:jc w:val="center"/>
      </w:pPr>
      <w:r>
        <w:rPr>
          <w:b/>
          <w:sz w:val="20"/>
          <w:szCs w:val="20"/>
        </w:rPr>
        <w:t>Figure 5: Risk Sensitivities (Greeks) — Key hedging parameters on logarithmic scale</w:t>
      </w:r>
    </w:p>
    <w:p w14:paraId="2A16998C" w14:textId="77777777" w:rsidR="00D0531A" w:rsidRDefault="00D0531A" w:rsidP="005A3702">
      <w:pPr>
        <w:rPr>
          <w:rStyle w:val="SectionNumber"/>
        </w:rPr>
      </w:pPr>
      <w:bookmarkStart w:id="40" w:name="hedging-implications"/>
      <w:bookmarkEnd w:id="39"/>
      <w:r w:rsidRPr="005A3702">
        <w:rPr>
          <w:noProof/>
        </w:rPr>
        <w:drawing>
          <wp:inline distT="0" distB="0" distL="0" distR="0" wp14:anchorId="5928BAE4" wp14:editId="165BACBD">
            <wp:extent cx="5943600" cy="2940685"/>
            <wp:effectExtent l="0" t="0" r="0" b="0"/>
            <wp:docPr id="838527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27417" name="Picture 8385274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47C2" w14:textId="77777777" w:rsidR="005A3702" w:rsidRPr="005A3702" w:rsidRDefault="005A3702" w:rsidP="005A3702">
      <w:pPr>
        <w:pStyle w:val="BodyText"/>
      </w:pPr>
    </w:p>
    <w:p w14:paraId="5886A448" w14:textId="77777777" w:rsidR="00914C8F" w:rsidRDefault="00072CB4">
      <w:pPr>
        <w:pStyle w:val="Heading2"/>
      </w:pPr>
      <w:bookmarkStart w:id="41" w:name="_Toc219839009"/>
      <w:r>
        <w:rPr>
          <w:rStyle w:val="SectionNumber"/>
        </w:rPr>
        <w:t>7.2</w:t>
      </w:r>
      <w:r>
        <w:tab/>
        <w:t>Hedging Implications</w:t>
      </w:r>
      <w:bookmarkEnd w:id="41"/>
    </w:p>
    <w:p w14:paraId="405950F2" w14:textId="77777777" w:rsidR="00914C8F" w:rsidRDefault="00072CB4">
      <w:pPr>
        <w:pStyle w:val="FirstParagraph"/>
      </w:pPr>
      <w:r>
        <w:rPr>
          <w:b/>
          <w:bCs/>
        </w:rPr>
        <w:t>Delta Hedging:</w:t>
      </w:r>
      <w:r>
        <w:t xml:space="preserve"> The gold delta of EUR 110K per dollar implies a hedge ratio of approximately:</w:t>
      </w:r>
    </w:p>
    <w:p w14:paraId="3D83383E" w14:textId="77777777" w:rsidR="00914C8F" w:rsidRDefault="00072CB4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Gold Hedge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gold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545</m:t>
              </m:r>
            </m:num>
            <m:den>
              <m:r>
                <w:rPr>
                  <w:rFonts w:ascii="Cambria Math" w:hAnsi="Cambria Math"/>
                </w:rPr>
                <m:t>2750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4600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183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 xml:space="preserve"> oz</m:t>
          </m:r>
        </m:oMath>
      </m:oMathPara>
    </w:p>
    <w:p w14:paraId="6E1184AD" w14:textId="77777777" w:rsidR="00914C8F" w:rsidRDefault="00072CB4">
      <w:pPr>
        <w:pStyle w:val="FirstParagraph"/>
      </w:pPr>
      <w:r>
        <w:rPr>
          <w:b/>
          <w:bCs/>
        </w:rPr>
        <w:t>Barrier Risk:</w:t>
      </w:r>
      <w:r>
        <w:t xml:space="preserve"> As EUR/USD approaches either barrier, gamma and delta become increasingly unstable—the characteristic “pin risk” of barrier options. Hedging costs will escalate significantly in the final days before a potential knock-out.</w:t>
      </w:r>
    </w:p>
    <w:p w14:paraId="311BDF1A" w14:textId="77777777" w:rsidR="00914C8F" w:rsidRDefault="00072CB4">
      <w:pPr>
        <w:pStyle w:val="Heading1"/>
      </w:pPr>
      <w:bookmarkStart w:id="42" w:name="_Toc219839010"/>
      <w:bookmarkStart w:id="43" w:name="model-validation"/>
      <w:bookmarkEnd w:id="36"/>
      <w:bookmarkEnd w:id="40"/>
      <w:r>
        <w:rPr>
          <w:rStyle w:val="SectionNumber"/>
        </w:rPr>
        <w:t>8</w:t>
      </w:r>
      <w:r>
        <w:tab/>
        <w:t>Model Validation</w:t>
      </w:r>
      <w:bookmarkEnd w:id="42"/>
    </w:p>
    <w:p w14:paraId="154AC4D6" w14:textId="77777777" w:rsidR="00914C8F" w:rsidRDefault="00072CB4">
      <w:pPr>
        <w:pStyle w:val="Heading2"/>
      </w:pPr>
      <w:bookmarkStart w:id="44" w:name="_Toc219839011"/>
      <w:bookmarkStart w:id="45" w:name="alternative-specifications"/>
      <w:r>
        <w:rPr>
          <w:rStyle w:val="SectionNumber"/>
        </w:rPr>
        <w:t>8.1</w:t>
      </w:r>
      <w:r>
        <w:tab/>
        <w:t>Alternative Specifications</w:t>
      </w:r>
      <w:bookmarkEnd w:id="44"/>
    </w:p>
    <w:p w14:paraId="706DF7CB" w14:textId="77777777" w:rsidR="00914C8F" w:rsidRDefault="00072CB4">
      <w:pPr>
        <w:pStyle w:val="FirstParagraph"/>
      </w:pPr>
      <w:r>
        <w:t>To ensure robustness, we compared valuations across three model specifications: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8"/>
        <w:gridCol w:w="1607"/>
        <w:gridCol w:w="1855"/>
      </w:tblGrid>
      <w:tr w:rsidR="00914C8F" w14:paraId="1CB8BB4C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C80D79" w14:textId="77777777" w:rsidR="00914C8F" w:rsidRDefault="00072CB4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26B9B5FF" w14:textId="77777777" w:rsidR="00914C8F" w:rsidRDefault="00072CB4">
            <w:pPr>
              <w:pStyle w:val="Compact"/>
            </w:pPr>
            <w:r>
              <w:t>Z Group PV</w:t>
            </w:r>
          </w:p>
        </w:tc>
        <w:tc>
          <w:tcPr>
            <w:tcW w:w="0" w:type="auto"/>
          </w:tcPr>
          <w:p w14:paraId="3D87C5B6" w14:textId="77777777" w:rsidR="00914C8F" w:rsidRDefault="00072CB4">
            <w:pPr>
              <w:pStyle w:val="Compact"/>
            </w:pPr>
            <w:r>
              <w:t>Knock-Out Rate</w:t>
            </w:r>
          </w:p>
        </w:tc>
      </w:tr>
      <w:tr w:rsidR="00914C8F" w14:paraId="06265297" w14:textId="77777777">
        <w:tc>
          <w:tcPr>
            <w:tcW w:w="0" w:type="auto"/>
          </w:tcPr>
          <w:p w14:paraId="75F626D3" w14:textId="77777777" w:rsidR="00914C8F" w:rsidRDefault="00072CB4">
            <w:pPr>
              <w:pStyle w:val="Compact"/>
            </w:pPr>
            <w:r>
              <w:t>Base GBM</w:t>
            </w:r>
          </w:p>
        </w:tc>
        <w:tc>
          <w:tcPr>
            <w:tcW w:w="0" w:type="auto"/>
          </w:tcPr>
          <w:p w14:paraId="7F3C7325" w14:textId="77777777" w:rsidR="00914C8F" w:rsidRDefault="00072CB4">
            <w:pPr>
              <w:pStyle w:val="Compact"/>
            </w:pPr>
            <w:r>
              <w:t>EUR −192.1M</w:t>
            </w:r>
          </w:p>
        </w:tc>
        <w:tc>
          <w:tcPr>
            <w:tcW w:w="0" w:type="auto"/>
          </w:tcPr>
          <w:p w14:paraId="4D1A5471" w14:textId="77777777" w:rsidR="00914C8F" w:rsidRDefault="00072CB4">
            <w:pPr>
              <w:pStyle w:val="Compact"/>
            </w:pPr>
            <w:r>
              <w:t>92.9%</w:t>
            </w:r>
          </w:p>
        </w:tc>
      </w:tr>
      <w:tr w:rsidR="00914C8F" w14:paraId="74C8C0E1" w14:textId="77777777">
        <w:tc>
          <w:tcPr>
            <w:tcW w:w="0" w:type="auto"/>
          </w:tcPr>
          <w:p w14:paraId="073B0EAD" w14:textId="77777777" w:rsidR="00914C8F" w:rsidRDefault="00072CB4">
            <w:pPr>
              <w:pStyle w:val="Compact"/>
            </w:pPr>
            <w:r>
              <w:t>Heston Stochastic Vol</w:t>
            </w:r>
          </w:p>
        </w:tc>
        <w:tc>
          <w:tcPr>
            <w:tcW w:w="0" w:type="auto"/>
          </w:tcPr>
          <w:p w14:paraId="7FAEAF94" w14:textId="77777777" w:rsidR="00914C8F" w:rsidRDefault="00072CB4">
            <w:pPr>
              <w:pStyle w:val="Compact"/>
            </w:pPr>
            <w:r>
              <w:t>EUR −191.8M</w:t>
            </w:r>
          </w:p>
        </w:tc>
        <w:tc>
          <w:tcPr>
            <w:tcW w:w="0" w:type="auto"/>
          </w:tcPr>
          <w:p w14:paraId="6B92AB76" w14:textId="77777777" w:rsidR="00914C8F" w:rsidRDefault="00072CB4">
            <w:pPr>
              <w:pStyle w:val="Compact"/>
            </w:pPr>
            <w:r>
              <w:t>93.0%</w:t>
            </w:r>
          </w:p>
        </w:tc>
      </w:tr>
      <w:tr w:rsidR="00914C8F" w14:paraId="216C728C" w14:textId="77777777">
        <w:tc>
          <w:tcPr>
            <w:tcW w:w="0" w:type="auto"/>
          </w:tcPr>
          <w:p w14:paraId="549C710C" w14:textId="77777777" w:rsidR="00914C8F" w:rsidRDefault="00072CB4">
            <w:pPr>
              <w:pStyle w:val="Compact"/>
            </w:pPr>
            <w:r>
              <w:t>Merton Jump-Diffusion</w:t>
            </w:r>
          </w:p>
        </w:tc>
        <w:tc>
          <w:tcPr>
            <w:tcW w:w="0" w:type="auto"/>
          </w:tcPr>
          <w:p w14:paraId="10A9B633" w14:textId="77777777" w:rsidR="00914C8F" w:rsidRDefault="00072CB4">
            <w:pPr>
              <w:pStyle w:val="Compact"/>
            </w:pPr>
            <w:r>
              <w:t>EUR −191.7M</w:t>
            </w:r>
          </w:p>
        </w:tc>
        <w:tc>
          <w:tcPr>
            <w:tcW w:w="0" w:type="auto"/>
          </w:tcPr>
          <w:p w14:paraId="59BF7806" w14:textId="77777777" w:rsidR="00914C8F" w:rsidRDefault="00072CB4">
            <w:pPr>
              <w:pStyle w:val="Compact"/>
            </w:pPr>
            <w:r>
              <w:t>93.0%</w:t>
            </w:r>
          </w:p>
        </w:tc>
      </w:tr>
    </w:tbl>
    <w:p w14:paraId="58731BB5" w14:textId="77777777" w:rsidR="00914C8F" w:rsidRDefault="00072CB4">
      <w:pPr>
        <w:pStyle w:val="BodyText"/>
      </w:pPr>
      <w:r>
        <w:t>All models converge within 0.2%, confirming that the barrier structure dominates pricing dynamics. Model specification risk is secondary.</w:t>
      </w:r>
    </w:p>
    <w:p w14:paraId="52FAC718" w14:textId="77777777" w:rsidR="00B17825" w:rsidRDefault="00072CB4">
      <w:pPr>
        <w:spacing w:before="200" w:after="100"/>
        <w:jc w:val="center"/>
      </w:pPr>
      <w:r>
        <w:rPr>
          <w:b/>
          <w:sz w:val="20"/>
          <w:szCs w:val="20"/>
        </w:rPr>
        <w:t>Figure 6: Model Validation — Cross-comparison of GBM, Heston, and Merton specifications</w:t>
      </w:r>
    </w:p>
    <w:p w14:paraId="79B4C379" w14:textId="77777777" w:rsidR="00D0531A" w:rsidRDefault="00D0531A" w:rsidP="005A3702">
      <w:pPr>
        <w:rPr>
          <w:rStyle w:val="SectionNumber"/>
        </w:rPr>
      </w:pPr>
      <w:bookmarkStart w:id="46" w:name="analytical-benchmark"/>
      <w:bookmarkEnd w:id="45"/>
      <w:r w:rsidRPr="005A3702">
        <w:rPr>
          <w:noProof/>
        </w:rPr>
        <w:drawing>
          <wp:inline distT="0" distB="0" distL="0" distR="0" wp14:anchorId="7C91F0A1" wp14:editId="4072FCDE">
            <wp:extent cx="5943600" cy="2435860"/>
            <wp:effectExtent l="0" t="0" r="0" b="0"/>
            <wp:docPr id="1516017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17797" name="Picture 15160177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FE68" w14:textId="77777777" w:rsidR="00D0531A" w:rsidRDefault="00D0531A">
      <w:pPr>
        <w:pStyle w:val="Heading2"/>
        <w:rPr>
          <w:rStyle w:val="SectionNumber"/>
        </w:rPr>
      </w:pPr>
    </w:p>
    <w:p w14:paraId="151BA297" w14:textId="77777777" w:rsidR="00914C8F" w:rsidRDefault="00072CB4">
      <w:pPr>
        <w:pStyle w:val="Heading2"/>
      </w:pPr>
      <w:bookmarkStart w:id="47" w:name="_Toc219839012"/>
      <w:r>
        <w:rPr>
          <w:rStyle w:val="SectionNumber"/>
        </w:rPr>
        <w:t>8.2</w:t>
      </w:r>
      <w:r>
        <w:tab/>
        <w:t>Analytical Benchmark</w:t>
      </w:r>
      <w:bookmarkEnd w:id="47"/>
    </w:p>
    <w:p w14:paraId="60394748" w14:textId="77777777" w:rsidR="00914C8F" w:rsidRDefault="00072CB4">
      <w:pPr>
        <w:pStyle w:val="FirstParagraph"/>
      </w:pPr>
      <w:r>
        <w:t>The vanilla gold forward (without barriers) provides a sanity check:</w:t>
      </w:r>
    </w:p>
    <w:p w14:paraId="1070797D" w14:textId="77777777" w:rsidR="00914C8F" w:rsidRDefault="00072CB4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vanilla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EUR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0.025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500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2979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4600</m:t>
              </m:r>
            </m:num>
            <m:den>
              <m:r>
                <w:rPr>
                  <w:rFonts w:ascii="Cambria Math" w:hAnsi="Cambria Math"/>
                </w:rPr>
                <m:t>4600</m:t>
              </m:r>
            </m:den>
          </m:f>
        </m:oMath>
      </m:oMathPara>
    </w:p>
    <w:p w14:paraId="45F16C34" w14:textId="77777777" w:rsidR="00914C8F" w:rsidRDefault="00072CB4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vanilla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 xml:space="preserve">EUR 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167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598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411</m:t>
          </m:r>
        </m:oMath>
      </m:oMathPara>
    </w:p>
    <w:p w14:paraId="59D0DEC8" w14:textId="77777777" w:rsidR="00914C8F" w:rsidRDefault="00072CB4">
      <w:pPr>
        <w:pStyle w:val="FirstParagraph"/>
      </w:pPr>
      <w:r>
        <w:t>The knock-out version (EUR −192M) is EUR 24M worse than the vanilla, representing the expected cost of early termination when gold is below strike.</w:t>
      </w:r>
    </w:p>
    <w:p w14:paraId="3CFF7AF8" w14:textId="77777777" w:rsidR="00914C8F" w:rsidRDefault="00072CB4">
      <w:pPr>
        <w:pStyle w:val="Heading1"/>
      </w:pPr>
      <w:bookmarkStart w:id="48" w:name="_Toc219839013"/>
      <w:bookmarkStart w:id="49" w:name="conclusions-and-recommendations"/>
      <w:bookmarkEnd w:id="43"/>
      <w:bookmarkEnd w:id="46"/>
      <w:r>
        <w:rPr>
          <w:rStyle w:val="SectionNumber"/>
        </w:rPr>
        <w:t>9</w:t>
      </w:r>
      <w:r>
        <w:tab/>
        <w:t>Conclusions and Recommendations</w:t>
      </w:r>
      <w:bookmarkEnd w:id="48"/>
    </w:p>
    <w:p w14:paraId="301D4D8B" w14:textId="77777777" w:rsidR="00914C8F" w:rsidRDefault="00072CB4">
      <w:pPr>
        <w:pStyle w:val="Heading2"/>
      </w:pPr>
      <w:bookmarkStart w:id="50" w:name="_Toc219839014"/>
      <w:bookmarkStart w:id="51" w:name="summary-of-findings"/>
      <w:r>
        <w:rPr>
          <w:rStyle w:val="SectionNumber"/>
        </w:rPr>
        <w:t>9.1</w:t>
      </w:r>
      <w:r>
        <w:tab/>
        <w:t>Summary of Findings</w:t>
      </w:r>
      <w:bookmarkEnd w:id="50"/>
    </w:p>
    <w:p w14:paraId="6F3491FA" w14:textId="77777777" w:rsidR="00914C8F" w:rsidRDefault="00072CB4">
      <w:pPr>
        <w:pStyle w:val="FirstParagraph"/>
      </w:pPr>
      <w:r>
        <w:t>UPDATED ASSESSMENT: The market has moved dramatically in favor of Z Group. With gold at $4,900/oz (above the $4,600 strike) and EUR/USD at 1.19 (near the 1.25 upper barrier), Z Group now holds a valuable position worth approximately EUR +46 million. Alphabank faces a corresponding EUR 46 million mark-to-market loss.</w:t>
      </w:r>
    </w:p>
    <w:p w14:paraId="4ED124C5" w14:textId="77777777" w:rsidR="00914C8F" w:rsidRDefault="00072CB4">
      <w:pPr>
        <w:numPr>
          <w:ilvl w:val="0"/>
          <w:numId w:val="3"/>
        </w:numPr>
      </w:pPr>
      <w:r>
        <w:rPr>
          <w:b/>
          <w:bCs/>
        </w:rPr>
        <w:t>Strike positioning:</w:t>
      </w:r>
      <w:r>
        <w:t xml:space="preserve"> The USD 4,600 strike creates a deeply out-of-the-money position for Z Group. Clarification of the commercial rationale is recommended.</w:t>
      </w:r>
    </w:p>
    <w:p w14:paraId="487C8AA2" w14:textId="77777777" w:rsidR="00914C8F" w:rsidRDefault="00072CB4">
      <w:pPr>
        <w:numPr>
          <w:ilvl w:val="0"/>
          <w:numId w:val="3"/>
        </w:numPr>
      </w:pPr>
      <w:r>
        <w:rPr>
          <w:b/>
          <w:bCs/>
        </w:rPr>
        <w:t>Barrier proximity:</w:t>
      </w:r>
      <w:r>
        <w:t xml:space="preserve"> The 93% knock-out probability results in an expected contract life of only 5 months—potentially misaligned with a 2-year hedging mandate.</w:t>
      </w:r>
    </w:p>
    <w:p w14:paraId="6CDF465C" w14:textId="77777777" w:rsidR="00914C8F" w:rsidRDefault="00072CB4">
      <w:pPr>
        <w:pStyle w:val="Heading2"/>
      </w:pPr>
      <w:bookmarkStart w:id="52" w:name="_Toc219839015"/>
      <w:bookmarkStart w:id="53" w:name="recommendations"/>
      <w:bookmarkEnd w:id="51"/>
      <w:r>
        <w:rPr>
          <w:rStyle w:val="SectionNumber"/>
        </w:rPr>
        <w:t>9.2</w:t>
      </w:r>
      <w:r>
        <w:tab/>
        <w:t>Recommendations</w:t>
      </w:r>
      <w:bookmarkEnd w:id="52"/>
    </w:p>
    <w:p w14:paraId="4C9B2BA3" w14:textId="77777777" w:rsidR="00914C8F" w:rsidRDefault="00072CB4">
      <w:pPr>
        <w:pStyle w:val="FirstParagraph"/>
      </w:pPr>
      <w:r>
        <w:t>We recommend proceeding to term sheet stage contingent upon:</w:t>
      </w:r>
    </w:p>
    <w:p w14:paraId="77E5DB90" w14:textId="77777777" w:rsidR="00914C8F" w:rsidRDefault="00072CB4">
      <w:pPr>
        <w:numPr>
          <w:ilvl w:val="0"/>
          <w:numId w:val="4"/>
        </w:numPr>
      </w:pPr>
      <w:r>
        <w:t>Confirmation from Relationship Management regarding Z Group’s acceptance of the strike level and its implications</w:t>
      </w:r>
    </w:p>
    <w:p w14:paraId="48250ADD" w14:textId="77777777" w:rsidR="00914C8F" w:rsidRDefault="00072CB4">
      <w:pPr>
        <w:numPr>
          <w:ilvl w:val="0"/>
          <w:numId w:val="4"/>
        </w:numPr>
      </w:pPr>
      <w:r>
        <w:t>Discussion of whether alternative barrier configurations (e.g., [1.00, 1.30]) would better serve the client’s hedging objectives</w:t>
      </w:r>
    </w:p>
    <w:p w14:paraId="501E9B2C" w14:textId="77777777" w:rsidR="00914C8F" w:rsidRDefault="00072CB4">
      <w:pPr>
        <w:numPr>
          <w:ilvl w:val="0"/>
          <w:numId w:val="4"/>
        </w:numPr>
      </w:pPr>
      <w:r>
        <w:t>Documentation of appropriate risk disclosures regarding the high knock-out probability</w:t>
      </w:r>
    </w:p>
    <w:p w14:paraId="4133CD7D" w14:textId="77777777" w:rsidR="00914C8F" w:rsidRDefault="00072CB4">
      <w:pPr>
        <w:pStyle w:val="Heading2"/>
      </w:pPr>
      <w:bookmarkStart w:id="54" w:name="_Toc219839016"/>
      <w:bookmarkStart w:id="55" w:name="next-steps"/>
      <w:bookmarkEnd w:id="53"/>
      <w:r>
        <w:rPr>
          <w:rStyle w:val="SectionNumber"/>
        </w:rPr>
        <w:t>9.3</w:t>
      </w:r>
      <w:r>
        <w:tab/>
        <w:t>Next Steps</w:t>
      </w:r>
      <w:bookmarkEnd w:id="54"/>
    </w:p>
    <w:p w14:paraId="7B5EFA77" w14:textId="77777777" w:rsidR="00914C8F" w:rsidRDefault="00072CB4">
      <w:pPr>
        <w:pStyle w:val="FirstParagraph"/>
      </w:pPr>
      <w:r>
        <w:t>Upon Committee approval, we will:</w:t>
      </w:r>
    </w:p>
    <w:p w14:paraId="05BBA111" w14:textId="77777777" w:rsidR="00914C8F" w:rsidRDefault="00072CB4">
      <w:pPr>
        <w:pStyle w:val="Compact"/>
        <w:numPr>
          <w:ilvl w:val="0"/>
          <w:numId w:val="5"/>
        </w:numPr>
      </w:pPr>
      <w:r>
        <w:t>Finalize term sheet documentation</w:t>
      </w:r>
    </w:p>
    <w:p w14:paraId="0A1EC9FE" w14:textId="77777777" w:rsidR="00914C8F" w:rsidRDefault="00072CB4">
      <w:pPr>
        <w:pStyle w:val="Compact"/>
        <w:numPr>
          <w:ilvl w:val="0"/>
          <w:numId w:val="5"/>
        </w:numPr>
      </w:pPr>
      <w:r>
        <w:t>Establish hedging framework with Trading Desk</w:t>
      </w:r>
    </w:p>
    <w:p w14:paraId="5A37CD52" w14:textId="77777777" w:rsidR="00914C8F" w:rsidRDefault="00072CB4">
      <w:pPr>
        <w:pStyle w:val="Compact"/>
        <w:numPr>
          <w:ilvl w:val="0"/>
          <w:numId w:val="5"/>
        </w:numPr>
      </w:pPr>
      <w:r>
        <w:t>Coordinate credit approval with Risk Management</w:t>
      </w:r>
    </w:p>
    <w:p w14:paraId="29CC9789" w14:textId="77777777" w:rsidR="00914C8F" w:rsidRDefault="00072CB4">
      <w:pPr>
        <w:pStyle w:val="Compact"/>
        <w:numPr>
          <w:ilvl w:val="0"/>
          <w:numId w:val="5"/>
        </w:numPr>
      </w:pPr>
      <w:r>
        <w:t>Schedule client presentation</w:t>
      </w:r>
    </w:p>
    <w:p w14:paraId="28DE26F5" w14:textId="77777777" w:rsidR="00914C8F" w:rsidRDefault="00914C8F"/>
    <w:p w14:paraId="6D8943B7" w14:textId="77777777" w:rsidR="00D0531A" w:rsidRDefault="00D0531A">
      <w:pPr>
        <w:rPr>
          <w:rStyle w:val="SectionNumber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56" w:name="appendix-a-nomenclature"/>
      <w:bookmarkEnd w:id="49"/>
      <w:bookmarkEnd w:id="55"/>
      <w:r>
        <w:rPr>
          <w:rStyle w:val="SectionNumber"/>
        </w:rPr>
        <w:br w:type="page"/>
      </w:r>
    </w:p>
    <w:p w14:paraId="45F7C4F5" w14:textId="77777777" w:rsidR="00914C8F" w:rsidRDefault="00072CB4">
      <w:pPr>
        <w:pStyle w:val="Heading1"/>
      </w:pPr>
      <w:bookmarkStart w:id="57" w:name="_Toc219839017"/>
      <w:r>
        <w:t>Appendix A: Nomenclature</w:t>
      </w:r>
      <w:bookmarkEnd w:id="5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0"/>
        <w:gridCol w:w="4088"/>
      </w:tblGrid>
      <w:tr w:rsidR="00914C8F" w14:paraId="7A331976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4BC00C" w14:textId="77777777" w:rsidR="00914C8F" w:rsidRDefault="00072CB4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6E136C6A" w14:textId="77777777" w:rsidR="00914C8F" w:rsidRDefault="00072CB4">
            <w:pPr>
              <w:pStyle w:val="Compact"/>
            </w:pPr>
            <w:r>
              <w:t>Description</w:t>
            </w:r>
          </w:p>
        </w:tc>
      </w:tr>
      <w:tr w:rsidR="00914C8F" w14:paraId="089860BA" w14:textId="77777777">
        <w:tc>
          <w:tcPr>
            <w:tcW w:w="0" w:type="auto"/>
          </w:tcPr>
          <w:p w14:paraId="1564C6EB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62FF35F" w14:textId="77777777" w:rsidR="00914C8F" w:rsidRDefault="00072CB4">
            <w:pPr>
              <w:pStyle w:val="Compact"/>
            </w:pPr>
            <w:r>
              <w:t xml:space="preserve">Gold spot price (USD/oz) at time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</w:tr>
      <w:tr w:rsidR="00914C8F" w14:paraId="47AD777B" w14:textId="77777777">
        <w:tc>
          <w:tcPr>
            <w:tcW w:w="0" w:type="auto"/>
          </w:tcPr>
          <w:p w14:paraId="58C3718C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CE7E79E" w14:textId="77777777" w:rsidR="00914C8F" w:rsidRDefault="00072CB4">
            <w:pPr>
              <w:pStyle w:val="Compact"/>
            </w:pPr>
            <w:r>
              <w:t xml:space="preserve">EUR/USD exchange rate at time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</w:tr>
      <w:tr w:rsidR="00914C8F" w14:paraId="28F50CFD" w14:textId="77777777">
        <w:tc>
          <w:tcPr>
            <w:tcW w:w="0" w:type="auto"/>
          </w:tcPr>
          <w:p w14:paraId="64CD96C7" w14:textId="77777777" w:rsidR="00914C8F" w:rsidRDefault="00072CB4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3E1E3C1D" w14:textId="77777777" w:rsidR="00914C8F" w:rsidRDefault="00072CB4">
            <w:pPr>
              <w:pStyle w:val="Compact"/>
            </w:pPr>
            <w:r>
              <w:t>Strike price (USD 4,600/oz)</w:t>
            </w:r>
          </w:p>
        </w:tc>
      </w:tr>
      <w:tr w:rsidR="00914C8F" w14:paraId="35F24B04" w14:textId="77777777">
        <w:tc>
          <w:tcPr>
            <w:tcW w:w="0" w:type="auto"/>
          </w:tcPr>
          <w:p w14:paraId="5C000154" w14:textId="77777777" w:rsidR="00914C8F" w:rsidRDefault="00072CB4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</w:tcPr>
          <w:p w14:paraId="073FCEEF" w14:textId="77777777" w:rsidR="00914C8F" w:rsidRDefault="00072CB4">
            <w:pPr>
              <w:pStyle w:val="Compact"/>
            </w:pPr>
            <w:r>
              <w:t>Notional principal (EUR 500M)</w:t>
            </w:r>
          </w:p>
        </w:tc>
      </w:tr>
      <w:tr w:rsidR="00914C8F" w14:paraId="231C3DBE" w14:textId="77777777">
        <w:tc>
          <w:tcPr>
            <w:tcW w:w="0" w:type="auto"/>
          </w:tcPr>
          <w:p w14:paraId="2B34A807" w14:textId="77777777" w:rsidR="00914C8F" w:rsidRDefault="00072CB4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14:paraId="1E1EEAA3" w14:textId="77777777" w:rsidR="00914C8F" w:rsidRDefault="00072CB4">
            <w:pPr>
              <w:pStyle w:val="Compact"/>
            </w:pPr>
            <w:r>
              <w:t>Maturity (2 years)</w:t>
            </w:r>
          </w:p>
        </w:tc>
      </w:tr>
      <w:tr w:rsidR="00914C8F" w14:paraId="0B544A42" w14:textId="77777777">
        <w:tc>
          <w:tcPr>
            <w:tcW w:w="0" w:type="auto"/>
          </w:tcPr>
          <w:p w14:paraId="0D79634A" w14:textId="77777777" w:rsidR="00914C8F" w:rsidRDefault="00072CB4">
            <w:pPr>
              <w:pStyle w:val="Compact"/>
            </w:pPr>
            <m:oMath>
              <m:r>
                <w:rPr>
                  <w:rFonts w:ascii="Cambria Math" w:hAnsi="Cambria Math"/>
                </w:rPr>
                <m:t>L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U</m:t>
              </m:r>
            </m:oMath>
          </w:p>
        </w:tc>
        <w:tc>
          <w:tcPr>
            <w:tcW w:w="0" w:type="auto"/>
          </w:tcPr>
          <w:p w14:paraId="04E2C961" w14:textId="77777777" w:rsidR="00914C8F" w:rsidRDefault="00072CB4">
            <w:pPr>
              <w:pStyle w:val="Compact"/>
            </w:pPr>
            <w:r>
              <w:t>Lower (1.05) and upper (1.25) barriers</w:t>
            </w:r>
          </w:p>
        </w:tc>
      </w:tr>
      <w:tr w:rsidR="00914C8F" w14:paraId="17FA334B" w14:textId="77777777">
        <w:tc>
          <w:tcPr>
            <w:tcW w:w="0" w:type="auto"/>
          </w:tcPr>
          <w:p w14:paraId="3BB18C69" w14:textId="77777777" w:rsidR="00914C8F" w:rsidRDefault="00072CB4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EUR</m:t>
                  </m:r>
                </m:sub>
              </m:sSub>
            </m:oMath>
            <w: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USD</m:t>
                  </m:r>
                </m:sub>
              </m:sSub>
            </m:oMath>
          </w:p>
        </w:tc>
        <w:tc>
          <w:tcPr>
            <w:tcW w:w="0" w:type="auto"/>
          </w:tcPr>
          <w:p w14:paraId="25646818" w14:textId="77777777" w:rsidR="00914C8F" w:rsidRDefault="00072CB4">
            <w:pPr>
              <w:pStyle w:val="Compact"/>
            </w:pPr>
            <w:r>
              <w:t>Risk-free rates</w:t>
            </w:r>
          </w:p>
        </w:tc>
      </w:tr>
      <w:tr w:rsidR="00914C8F" w14:paraId="03C2B4BB" w14:textId="77777777">
        <w:tc>
          <w:tcPr>
            <w:tcW w:w="0" w:type="auto"/>
          </w:tcPr>
          <w:p w14:paraId="748E7E2A" w14:textId="77777777" w:rsidR="00914C8F" w:rsidRDefault="00072CB4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oMath>
          </w:p>
        </w:tc>
        <w:tc>
          <w:tcPr>
            <w:tcW w:w="0" w:type="auto"/>
          </w:tcPr>
          <w:p w14:paraId="198AFAC2" w14:textId="77777777" w:rsidR="00914C8F" w:rsidRDefault="00072CB4">
            <w:pPr>
              <w:pStyle w:val="Compact"/>
            </w:pPr>
            <w:r>
              <w:t>Volatilities</w:t>
            </w:r>
          </w:p>
        </w:tc>
      </w:tr>
      <w:tr w:rsidR="00914C8F" w14:paraId="1045213B" w14:textId="77777777">
        <w:tc>
          <w:tcPr>
            <w:tcW w:w="0" w:type="auto"/>
          </w:tcPr>
          <w:p w14:paraId="5F9C0BA6" w14:textId="77777777" w:rsidR="00914C8F" w:rsidRDefault="00072CB4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  <w:tc>
          <w:tcPr>
            <w:tcW w:w="0" w:type="auto"/>
          </w:tcPr>
          <w:p w14:paraId="0077D579" w14:textId="77777777" w:rsidR="00914C8F" w:rsidRDefault="00072CB4">
            <w:pPr>
              <w:pStyle w:val="Compact"/>
            </w:pPr>
            <w:r>
              <w:t>Correlation coefficient</w:t>
            </w:r>
          </w:p>
        </w:tc>
      </w:tr>
      <w:tr w:rsidR="00914C8F" w14:paraId="27E79693" w14:textId="77777777">
        <w:tc>
          <w:tcPr>
            <w:tcW w:w="0" w:type="auto"/>
          </w:tcPr>
          <w:p w14:paraId="47189699" w14:textId="77777777" w:rsidR="00914C8F" w:rsidRDefault="00072CB4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14:paraId="15563979" w14:textId="77777777" w:rsidR="00914C8F" w:rsidRDefault="00072CB4">
            <w:pPr>
              <w:pStyle w:val="Compact"/>
            </w:pPr>
            <w:r>
              <w:t>Gold convenience yield</w:t>
            </w:r>
          </w:p>
        </w:tc>
      </w:tr>
      <w:tr w:rsidR="00914C8F" w14:paraId="65A168B0" w14:textId="77777777">
        <w:tc>
          <w:tcPr>
            <w:tcW w:w="0" w:type="auto"/>
          </w:tcPr>
          <w:p w14:paraId="7A88410B" w14:textId="77777777" w:rsidR="00914C8F" w:rsidRDefault="00072CB4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0" w:type="auto"/>
          </w:tcPr>
          <w:p w14:paraId="58343350" w14:textId="77777777" w:rsidR="00914C8F" w:rsidRDefault="00072CB4">
            <w:pPr>
              <w:pStyle w:val="Compact"/>
            </w:pPr>
            <w:r>
              <w:t>Settlement time</w:t>
            </w:r>
          </w:p>
        </w:tc>
      </w:tr>
      <w:tr w:rsidR="00914C8F" w14:paraId="7802A662" w14:textId="77777777">
        <w:tc>
          <w:tcPr>
            <w:tcW w:w="0" w:type="auto"/>
          </w:tcPr>
          <w:p w14:paraId="7C3A25F7" w14:textId="77777777" w:rsidR="00914C8F" w:rsidRDefault="00072CB4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KO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DCF6280" w14:textId="77777777" w:rsidR="00914C8F" w:rsidRDefault="00072CB4">
            <w:pPr>
              <w:pStyle w:val="Compact"/>
            </w:pPr>
            <w:r>
              <w:t>Knock-out time</w:t>
            </w:r>
          </w:p>
        </w:tc>
      </w:tr>
      <w:bookmarkEnd w:id="56"/>
    </w:tbl>
    <w:p w14:paraId="18B5EE4C" w14:textId="77777777" w:rsidR="00D0531A" w:rsidRDefault="00D0531A">
      <w:pPr>
        <w:pStyle w:val="Heading1"/>
        <w:rPr>
          <w:rStyle w:val="SectionNumber"/>
        </w:rPr>
      </w:pPr>
    </w:p>
    <w:p w14:paraId="16839448" w14:textId="77777777" w:rsidR="00D0531A" w:rsidRDefault="00D0531A">
      <w:pPr>
        <w:rPr>
          <w:rStyle w:val="SectionNumber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Style w:val="SectionNumber"/>
        </w:rPr>
        <w:br w:type="page"/>
      </w:r>
    </w:p>
    <w:p w14:paraId="50DC4A3F" w14:textId="77777777" w:rsidR="00914C8F" w:rsidRDefault="00072CB4">
      <w:pPr>
        <w:pStyle w:val="Heading1"/>
      </w:pPr>
      <w:bookmarkStart w:id="58" w:name="_Toc219839018"/>
      <w:r>
        <w:t>Appendix B: Figure Index</w:t>
      </w:r>
      <w:bookmarkEnd w:id="58"/>
    </w:p>
    <w:p w14:paraId="2E1946A7" w14:textId="77777777" w:rsidR="00914C8F" w:rsidRDefault="00072CB4">
      <w:pPr>
        <w:pStyle w:val="Compact"/>
        <w:numPr>
          <w:ilvl w:val="0"/>
          <w:numId w:val="6"/>
        </w:numPr>
      </w:pPr>
      <w:r>
        <w:rPr>
          <w:b/>
        </w:rPr>
        <w:t xml:space="preserve">Figure 1: </w:t>
      </w:r>
      <w:r>
        <w:t>Monte Carlo Simulation Paths — monte_carlo_paths.png</w:t>
      </w:r>
    </w:p>
    <w:p w14:paraId="1AB8407F" w14:textId="77777777" w:rsidR="00914C8F" w:rsidRDefault="00072CB4">
      <w:pPr>
        <w:pStyle w:val="Compact"/>
        <w:numPr>
          <w:ilvl w:val="0"/>
          <w:numId w:val="6"/>
        </w:numPr>
      </w:pPr>
      <w:r>
        <w:rPr>
          <w:b/>
        </w:rPr>
        <w:t xml:space="preserve">Figure 2: </w:t>
      </w:r>
      <w:r>
        <w:t>Convergence Analysis — convergence_analysis.png</w:t>
      </w:r>
    </w:p>
    <w:p w14:paraId="298F1B16" w14:textId="77777777" w:rsidR="00914C8F" w:rsidRDefault="00072CB4">
      <w:pPr>
        <w:pStyle w:val="Compact"/>
        <w:numPr>
          <w:ilvl w:val="0"/>
          <w:numId w:val="6"/>
        </w:numPr>
      </w:pPr>
      <w:r>
        <w:rPr>
          <w:b/>
        </w:rPr>
        <w:t xml:space="preserve">Figure 3: </w:t>
      </w:r>
      <w:r>
        <w:t>Strike Price Sensitivity — scenario_strike.png</w:t>
      </w:r>
    </w:p>
    <w:p w14:paraId="720ED163" w14:textId="77777777" w:rsidR="00914C8F" w:rsidRDefault="00072CB4">
      <w:pPr>
        <w:pStyle w:val="Compact"/>
        <w:numPr>
          <w:ilvl w:val="0"/>
          <w:numId w:val="6"/>
        </w:numPr>
      </w:pPr>
      <w:r>
        <w:rPr>
          <w:b/>
        </w:rPr>
        <w:t xml:space="preserve">Figure 4: </w:t>
      </w:r>
      <w:r>
        <w:t>Barrier Configuration Analysis — scenario_barrier.png</w:t>
      </w:r>
    </w:p>
    <w:p w14:paraId="3D83BE39" w14:textId="77777777" w:rsidR="00914C8F" w:rsidRDefault="00072CB4">
      <w:pPr>
        <w:pStyle w:val="Compact"/>
        <w:numPr>
          <w:ilvl w:val="0"/>
          <w:numId w:val="6"/>
        </w:numPr>
      </w:pPr>
      <w:r>
        <w:rPr>
          <w:b/>
        </w:rPr>
        <w:t xml:space="preserve">Figure 5: </w:t>
      </w:r>
      <w:r>
        <w:t>Risk Sensitivities (Greeks) — greeks_summary.png</w:t>
      </w:r>
    </w:p>
    <w:p w14:paraId="022562E8" w14:textId="77777777" w:rsidR="00914C8F" w:rsidRDefault="00072CB4">
      <w:pPr>
        <w:pStyle w:val="Compact"/>
        <w:numPr>
          <w:ilvl w:val="0"/>
          <w:numId w:val="6"/>
        </w:numPr>
      </w:pPr>
      <w:r>
        <w:rPr>
          <w:b/>
        </w:rPr>
        <w:t xml:space="preserve">Figure 6: </w:t>
      </w:r>
      <w:r>
        <w:t>Model Validation — model_comparison.png</w:t>
      </w:r>
    </w:p>
    <w:p w14:paraId="6F501BB8" w14:textId="77777777" w:rsidR="00B17825" w:rsidRDefault="00072CB4">
      <w:r>
        <w:rPr>
          <w:b/>
        </w:rPr>
        <w:t xml:space="preserve">Figure 7: </w:t>
      </w:r>
      <w:r>
        <w:t>Comprehensive Sensitivity Analysis — sensitivity_analysis.png</w:t>
      </w:r>
    </w:p>
    <w:p w14:paraId="6F445FF3" w14:textId="77777777" w:rsidR="00B17825" w:rsidRDefault="00072CB4">
      <w:pPr>
        <w:pStyle w:val="Heading1"/>
      </w:pPr>
      <w:r>
        <w:rPr>
          <w:b/>
        </w:rPr>
        <w:t xml:space="preserve">Figure 8: </w:t>
      </w:r>
      <w:r>
        <w:t>Payoff Diagram — payoff_diagram.png</w:t>
      </w:r>
    </w:p>
    <w:p w14:paraId="2D21D2A8" w14:textId="77777777" w:rsidR="00B17825" w:rsidRDefault="00072CB4">
      <w:pPr>
        <w:jc w:val="center"/>
      </w:pPr>
      <w:r>
        <w:rPr>
          <w:b/>
        </w:rPr>
        <w:t xml:space="preserve">Figure 9: </w:t>
      </w:r>
      <w:r>
        <w:t>Payoff Distribution — payoff_distribution.png</w:t>
      </w:r>
    </w:p>
    <w:p w14:paraId="059B47BC" w14:textId="77777777" w:rsidR="00B17825" w:rsidRDefault="00072CB4">
      <w:pPr>
        <w:jc w:val="center"/>
      </w:pPr>
      <w:r>
        <w:rPr>
          <w:noProof/>
        </w:rPr>
        <w:drawing>
          <wp:inline distT="0" distB="0" distL="0" distR="0" wp14:anchorId="1EAA3815" wp14:editId="03364557">
            <wp:extent cx="5486400" cy="3414476"/>
            <wp:effectExtent l="0" t="0" r="0" b="0"/>
            <wp:docPr id="2121635082" name="Picture 2121635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itivity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9C76" w14:textId="77777777" w:rsidR="00B17825" w:rsidRDefault="00B17825"/>
    <w:p w14:paraId="0B4E384E" w14:textId="77777777" w:rsidR="00B17825" w:rsidRDefault="00B17825">
      <w:pPr>
        <w:jc w:val="center"/>
      </w:pPr>
    </w:p>
    <w:p w14:paraId="52D2CF38" w14:textId="77777777" w:rsidR="00B17825" w:rsidRDefault="00072CB4">
      <w:pPr>
        <w:jc w:val="center"/>
      </w:pPr>
      <w:r>
        <w:rPr>
          <w:noProof/>
        </w:rPr>
        <w:drawing>
          <wp:inline distT="0" distB="0" distL="0" distR="0" wp14:anchorId="540EC790" wp14:editId="560AB88E">
            <wp:extent cx="5029200" cy="2913866"/>
            <wp:effectExtent l="0" t="0" r="0" b="0"/>
            <wp:docPr id="2121635083" name="Picture 2121635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off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6ABC" w14:textId="77777777" w:rsidR="00B17825" w:rsidRDefault="00B17825"/>
    <w:p w14:paraId="335FB4DF" w14:textId="77777777" w:rsidR="00B17825" w:rsidRDefault="00B17825">
      <w:pPr>
        <w:jc w:val="center"/>
      </w:pPr>
    </w:p>
    <w:p w14:paraId="79AA8B2D" w14:textId="77777777" w:rsidR="00B17825" w:rsidRDefault="00072CB4">
      <w:pPr>
        <w:jc w:val="center"/>
      </w:pPr>
      <w:r>
        <w:rPr>
          <w:noProof/>
        </w:rPr>
        <w:drawing>
          <wp:inline distT="0" distB="0" distL="0" distR="0" wp14:anchorId="7456F6E0" wp14:editId="4749E0AB">
            <wp:extent cx="5029200" cy="2134514"/>
            <wp:effectExtent l="0" t="0" r="0" b="0"/>
            <wp:docPr id="2121635084" name="Picture 2121635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off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82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4E08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9E2C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12D3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13255226">
    <w:abstractNumId w:val="0"/>
  </w:num>
  <w:num w:numId="2" w16cid:durableId="958873485">
    <w:abstractNumId w:val="1"/>
  </w:num>
  <w:num w:numId="3" w16cid:durableId="1201170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12935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8907691">
    <w:abstractNumId w:val="1"/>
  </w:num>
  <w:num w:numId="6" w16cid:durableId="13196515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C8F"/>
    <w:rsid w:val="00072CB4"/>
    <w:rsid w:val="004659A4"/>
    <w:rsid w:val="005A3702"/>
    <w:rsid w:val="005C5F01"/>
    <w:rsid w:val="00914C8F"/>
    <w:rsid w:val="00B17825"/>
    <w:rsid w:val="00D0531A"/>
    <w:rsid w:val="00E7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0819"/>
  <w15:docId w15:val="{2E620ADC-5799-144D-8131-78FEDAE7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659A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659A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2272</Words>
  <Characters>12952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Structured Gold Forward with Knock-Out Barriers</vt:lpstr>
    </vt:vector>
  </TitlesOfParts>
  <Company>Ultipa</Company>
  <LinksUpToDate>false</LinksUpToDate>
  <CharactersWithSpaces>15194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Structured Gold Forward with Knock-Out Barriers</dc:title>
  <dc:subject>Pricing and Risk Analysis — Zeus Gold Group Hedging Facility</dc:subject>
  <dc:creator>Derivatives Structuring Desk</dc:creator>
  <cp:keywords/>
  <cp:lastModifiedBy>Cybershield Support Team</cp:lastModifiedBy>
  <cp:revision>3</cp:revision>
  <cp:lastPrinted>2026-02-01T08:45:00Z</cp:lastPrinted>
  <dcterms:created xsi:type="dcterms:W3CDTF">2026-02-01T08:45:00Z</dcterms:created>
  <dcterms:modified xsi:type="dcterms:W3CDTF">2026-02-01T08:45:00Z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2026</vt:lpwstr>
  </property>
  <property fmtid="{D5CDD505-2E9C-101B-9397-08002B2CF9AE}" pid="3" name="subtitle">
    <vt:lpwstr>Product Development Memorandum</vt:lpwstr>
  </property>
</Properties>
</file>