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12" w:rsidRDefault="00C13312" w:rsidP="00951FE5">
      <w:r>
        <w:t>Studies involving multiple outcomes (e.g. genomics, MRI)</w:t>
      </w:r>
    </w:p>
    <w:p w:rsidR="002F5855" w:rsidRPr="00442677" w:rsidRDefault="002F5855" w:rsidP="002F5855">
      <w:pPr>
        <w:pStyle w:val="ListParagraph"/>
        <w:numPr>
          <w:ilvl w:val="0"/>
          <w:numId w:val="70"/>
        </w:numPr>
        <w:spacing w:after="0"/>
        <w:rPr>
          <w:highlight w:val="yellow"/>
        </w:rPr>
      </w:pPr>
      <w:r w:rsidRPr="00442677">
        <w:rPr>
          <w:highlight w:val="yellow"/>
        </w:rPr>
        <w:t>key concept: p-values are uniformly distributed under H0</w:t>
      </w:r>
    </w:p>
    <w:p w:rsidR="00DC08E9" w:rsidRDefault="00DC08E9" w:rsidP="002F5855">
      <w:pPr>
        <w:pStyle w:val="ListParagraph"/>
        <w:numPr>
          <w:ilvl w:val="0"/>
          <w:numId w:val="70"/>
        </w:numPr>
        <w:spacing w:after="0"/>
      </w:pPr>
      <w:r>
        <w:t>difference between studies that are hypothesis-generating vs. hypothesis-testing</w:t>
      </w:r>
    </w:p>
    <w:p w:rsidR="00BF6786" w:rsidRDefault="00BF6786" w:rsidP="002F5855">
      <w:pPr>
        <w:pStyle w:val="ListParagraph"/>
        <w:numPr>
          <w:ilvl w:val="0"/>
          <w:numId w:val="70"/>
        </w:numPr>
        <w:spacing w:after="0"/>
      </w:pPr>
      <w:r>
        <w:t>Bonferroni always works, but at the expense of a large number of</w:t>
      </w:r>
      <w:r w:rsidR="00615F26">
        <w:t xml:space="preserve"> Type II errors (i.e. low power or too conservative)</w:t>
      </w:r>
    </w:p>
    <w:p w:rsidR="00BF6786" w:rsidRDefault="00BF6786" w:rsidP="002F5855">
      <w:pPr>
        <w:pStyle w:val="ListParagraph"/>
        <w:numPr>
          <w:ilvl w:val="0"/>
          <w:numId w:val="70"/>
        </w:numPr>
        <w:spacing w:after="0"/>
      </w:pPr>
      <w:r>
        <w:t>Alternative approaches:</w:t>
      </w:r>
    </w:p>
    <w:p w:rsidR="00EF7331" w:rsidRDefault="00EF7331" w:rsidP="00EF7331">
      <w:pPr>
        <w:pStyle w:val="ListParagraph"/>
        <w:numPr>
          <w:ilvl w:val="1"/>
          <w:numId w:val="70"/>
        </w:numPr>
        <w:spacing w:after="0"/>
      </w:pPr>
      <w:r w:rsidRPr="005A11B2">
        <w:rPr>
          <w:u w:val="single"/>
        </w:rPr>
        <w:t>Holm’s correction</w:t>
      </w:r>
      <w:r>
        <w:t>: Bonferroni step-down procedure</w:t>
      </w:r>
    </w:p>
    <w:p w:rsidR="00EF7331" w:rsidRDefault="00EF7331" w:rsidP="00EF7331">
      <w:pPr>
        <w:pStyle w:val="ListParagraph"/>
        <w:numPr>
          <w:ilvl w:val="2"/>
          <w:numId w:val="70"/>
        </w:numPr>
        <w:spacing w:after="0"/>
      </w:pPr>
      <w:r>
        <w:t xml:space="preserve">we compare our smallest p-value to </w:t>
      </w:r>
      <w:r>
        <w:sym w:font="Symbol" w:char="F061"/>
      </w:r>
      <w:r>
        <w:t xml:space="preserve">/n, if this is significant, we reject H0 for this test and then continue, comparing next smallest p-value to </w:t>
      </w:r>
      <w:r w:rsidRPr="00EF7331">
        <w:sym w:font="Symbol" w:char="F061"/>
      </w:r>
      <w:r w:rsidRPr="00EF7331">
        <w:t>/</w:t>
      </w:r>
      <w:r>
        <w:t>(</w:t>
      </w:r>
      <w:r w:rsidRPr="00EF7331">
        <w:t>n</w:t>
      </w:r>
      <w:r>
        <w:t xml:space="preserve"> – 1)</w:t>
      </w:r>
    </w:p>
    <w:p w:rsidR="007716D4" w:rsidRDefault="007716D4" w:rsidP="00EF7331">
      <w:pPr>
        <w:pStyle w:val="ListParagraph"/>
        <w:numPr>
          <w:ilvl w:val="2"/>
          <w:numId w:val="70"/>
        </w:numPr>
        <w:spacing w:after="0"/>
      </w:pPr>
      <w:r>
        <w:t>continue until first fail-to-reject H0</w:t>
      </w:r>
    </w:p>
    <w:p w:rsidR="0034571A" w:rsidRDefault="0034571A" w:rsidP="0034571A">
      <w:pPr>
        <w:pStyle w:val="ListParagraph"/>
        <w:numPr>
          <w:ilvl w:val="1"/>
          <w:numId w:val="70"/>
        </w:numPr>
        <w:spacing w:after="0"/>
      </w:pPr>
      <w:r w:rsidRPr="00DD2659">
        <w:rPr>
          <w:u w:val="single"/>
        </w:rPr>
        <w:t>Hochberg’s correction</w:t>
      </w:r>
      <w:r>
        <w:t>: Bonferroni step-up procedure</w:t>
      </w:r>
    </w:p>
    <w:p w:rsidR="0034571A" w:rsidRDefault="0034571A" w:rsidP="0034571A">
      <w:pPr>
        <w:pStyle w:val="ListParagraph"/>
        <w:numPr>
          <w:ilvl w:val="2"/>
          <w:numId w:val="70"/>
        </w:numPr>
        <w:spacing w:after="0"/>
      </w:pPr>
      <w:r>
        <w:t>multiply highest p-value by 1, next highest by 2, etc.</w:t>
      </w:r>
    </w:p>
    <w:p w:rsidR="00427F27" w:rsidRDefault="00427F27" w:rsidP="0034571A">
      <w:pPr>
        <w:pStyle w:val="ListParagraph"/>
        <w:numPr>
          <w:ilvl w:val="2"/>
          <w:numId w:val="70"/>
        </w:numPr>
        <w:spacing w:after="0"/>
      </w:pPr>
      <w:r>
        <w:t>slightly more powerful than Holm’s</w:t>
      </w:r>
    </w:p>
    <w:p w:rsidR="00427F27" w:rsidRDefault="00427F27" w:rsidP="0034571A">
      <w:pPr>
        <w:pStyle w:val="ListParagraph"/>
        <w:numPr>
          <w:ilvl w:val="2"/>
          <w:numId w:val="70"/>
        </w:numPr>
        <w:spacing w:after="0"/>
      </w:pPr>
      <w:r>
        <w:t>similar to false discovery rate (FDR)</w:t>
      </w:r>
    </w:p>
    <w:p w:rsidR="001D4874" w:rsidRDefault="0084702F" w:rsidP="001D4874">
      <w:pPr>
        <w:pStyle w:val="ListParagraph"/>
        <w:numPr>
          <w:ilvl w:val="1"/>
          <w:numId w:val="70"/>
        </w:numPr>
        <w:spacing w:after="0"/>
      </w:pPr>
      <w:r w:rsidRPr="00442677">
        <w:rPr>
          <w:highlight w:val="yellow"/>
        </w:rPr>
        <w:t>False Discovery Rate</w:t>
      </w:r>
      <w:r>
        <w:t xml:space="preserve"> (</w:t>
      </w:r>
      <w:r w:rsidR="009E5F66">
        <w:t xml:space="preserve">Benjamini &amp; </w:t>
      </w:r>
      <w:r w:rsidR="00337978">
        <w:t xml:space="preserve">Hochberg </w:t>
      </w:r>
      <w:r>
        <w:t xml:space="preserve">1995): </w:t>
      </w:r>
    </w:p>
    <w:p w:rsidR="00337978" w:rsidRDefault="00337978" w:rsidP="00337978">
      <w:pPr>
        <w:pStyle w:val="ListParagraph"/>
        <w:numPr>
          <w:ilvl w:val="2"/>
          <w:numId w:val="70"/>
        </w:numPr>
        <w:spacing w:after="0"/>
      </w:pPr>
      <w:r>
        <w:t>sensitivity: P(T+/D+) vs. positive predictive value (PPV): P(D+/T+)</w:t>
      </w:r>
    </w:p>
    <w:p w:rsidR="00FD5437" w:rsidRDefault="00FD5437" w:rsidP="00337978">
      <w:pPr>
        <w:pStyle w:val="ListParagraph"/>
        <w:numPr>
          <w:ilvl w:val="2"/>
          <w:numId w:val="70"/>
        </w:numPr>
        <w:spacing w:after="0"/>
      </w:pPr>
      <w:r>
        <w:t>FDR is analogous to PPV: P(H0 is true / H0 was rejected)</w:t>
      </w:r>
    </w:p>
    <w:p w:rsidR="00FD5437" w:rsidRDefault="00FD5437" w:rsidP="00337978">
      <w:pPr>
        <w:pStyle w:val="ListParagraph"/>
        <w:numPr>
          <w:ilvl w:val="2"/>
          <w:numId w:val="70"/>
        </w:numPr>
        <w:spacing w:after="0"/>
      </w:pPr>
      <w:r>
        <w:t>Two handy features:</w:t>
      </w:r>
    </w:p>
    <w:p w:rsidR="00FD5437" w:rsidRDefault="00FD5437" w:rsidP="00FD5437">
      <w:pPr>
        <w:pStyle w:val="ListParagraph"/>
        <w:numPr>
          <w:ilvl w:val="3"/>
          <w:numId w:val="70"/>
        </w:numPr>
        <w:spacing w:after="0"/>
      </w:pPr>
      <w:r>
        <w:t>FDR is calculated based on the p-values from the multiple tests</w:t>
      </w:r>
    </w:p>
    <w:p w:rsidR="000A448E" w:rsidRDefault="000A448E" w:rsidP="00FD5437">
      <w:pPr>
        <w:pStyle w:val="ListParagraph"/>
        <w:numPr>
          <w:ilvl w:val="3"/>
          <w:numId w:val="70"/>
        </w:numPr>
        <w:spacing w:after="0"/>
      </w:pPr>
      <w:r>
        <w:t>more appropriate in cases where we expect H0 to be false for a fair number of features</w:t>
      </w:r>
      <w:r w:rsidR="00F95B57">
        <w:t xml:space="preserve"> (e.g. genetic studies)</w:t>
      </w:r>
    </w:p>
    <w:p w:rsidR="00596813" w:rsidRDefault="00596813" w:rsidP="00FD5437">
      <w:pPr>
        <w:pStyle w:val="ListParagraph"/>
        <w:numPr>
          <w:ilvl w:val="3"/>
          <w:numId w:val="70"/>
        </w:numPr>
        <w:spacing w:after="0"/>
      </w:pPr>
      <w:r>
        <w:t>If we choose an FDR of 0.05, it means that we would like no more than 5% of the features that we classify as significant to be false positives</w:t>
      </w:r>
    </w:p>
    <w:p w:rsidR="00596813" w:rsidRDefault="00596813" w:rsidP="00596813">
      <w:pPr>
        <w:pStyle w:val="ListParagraph"/>
        <w:numPr>
          <w:ilvl w:val="4"/>
          <w:numId w:val="70"/>
        </w:numPr>
        <w:spacing w:after="0"/>
      </w:pPr>
      <w:r>
        <w:t>This is not the same as choosing the FWER to be 5%</w:t>
      </w:r>
    </w:p>
    <w:p w:rsidR="00B6205A" w:rsidRDefault="00B6205A" w:rsidP="00596813">
      <w:pPr>
        <w:pStyle w:val="ListParagraph"/>
        <w:numPr>
          <w:ilvl w:val="4"/>
          <w:numId w:val="70"/>
        </w:numPr>
        <w:spacing w:after="0"/>
      </w:pPr>
      <w:r>
        <w:t>As with FWER, we can either use it to set a criterion or we can use it to adjust our p-values</w:t>
      </w:r>
    </w:p>
    <w:p w:rsidR="001B6722" w:rsidRDefault="001B6722" w:rsidP="001B6722">
      <w:pPr>
        <w:pStyle w:val="ListParagraph"/>
        <w:numPr>
          <w:ilvl w:val="2"/>
          <w:numId w:val="70"/>
        </w:numPr>
        <w:spacing w:after="0"/>
      </w:pPr>
      <w:r>
        <w:t>FDR</w:t>
      </w:r>
      <w:r w:rsidR="004A2780" w:rsidRPr="004A2780">
        <w:rPr>
          <w:vertAlign w:val="subscript"/>
        </w:rPr>
        <w:t>i</w:t>
      </w:r>
      <w:r>
        <w:t xml:space="preserve"> = (# of false positives) / (# called significant)</w:t>
      </w:r>
    </w:p>
    <w:p w:rsidR="004A2780" w:rsidRDefault="004A2780" w:rsidP="004A2780">
      <w:pPr>
        <w:pStyle w:val="ListParagraph"/>
        <w:numPr>
          <w:ilvl w:val="3"/>
          <w:numId w:val="70"/>
        </w:numPr>
        <w:spacing w:after="0"/>
      </w:pPr>
      <w:r>
        <w:t>sort p-values and find the i</w:t>
      </w:r>
      <w:r w:rsidRPr="004A2780">
        <w:rPr>
          <w:vertAlign w:val="superscript"/>
        </w:rPr>
        <w:t>th</w:t>
      </w:r>
      <w:r>
        <w:t xml:space="preserve"> ordered p-value</w:t>
      </w:r>
      <w:r w:rsidR="00FF6483">
        <w:t xml:space="preserve"> (= p</w:t>
      </w:r>
      <w:r w:rsidR="00FF6483" w:rsidRPr="00FF6483">
        <w:rPr>
          <w:vertAlign w:val="subscript"/>
        </w:rPr>
        <w:t>i</w:t>
      </w:r>
      <w:r w:rsidR="00FF6483">
        <w:t>)</w:t>
      </w:r>
    </w:p>
    <w:p w:rsidR="00083018" w:rsidRDefault="00083018" w:rsidP="004A2780">
      <w:pPr>
        <w:pStyle w:val="ListParagraph"/>
        <w:numPr>
          <w:ilvl w:val="3"/>
          <w:numId w:val="70"/>
        </w:numPr>
        <w:spacing w:after="0"/>
      </w:pPr>
      <w:r>
        <w:t>if we chose this p-value as the cut-off for significance, we would have i significant p-values</w:t>
      </w:r>
      <w:r w:rsidR="00B070D6">
        <w:t xml:space="preserve"> (by definition, due to sorting)</w:t>
      </w:r>
    </w:p>
    <w:p w:rsidR="00FF6483" w:rsidRDefault="00FF6483" w:rsidP="004A2780">
      <w:pPr>
        <w:pStyle w:val="ListParagraph"/>
        <w:numPr>
          <w:ilvl w:val="3"/>
          <w:numId w:val="70"/>
        </w:numPr>
        <w:spacing w:after="0"/>
      </w:pPr>
      <w:r>
        <w:t>if all H0’s are true (</w:t>
      </w:r>
      <w:r w:rsidRPr="005177C7">
        <w:rPr>
          <w:b/>
        </w:rPr>
        <w:t>uniform distribution of p-values</w:t>
      </w:r>
      <w:r>
        <w:t>), then the expected # of false positives would be: n x p</w:t>
      </w:r>
      <w:r w:rsidRPr="00FF6483">
        <w:rPr>
          <w:vertAlign w:val="subscript"/>
        </w:rPr>
        <w:t>i</w:t>
      </w:r>
      <w:r>
        <w:t xml:space="preserve"> </w:t>
      </w:r>
    </w:p>
    <w:p w:rsidR="005C01B1" w:rsidRDefault="005C01B1" w:rsidP="004A2780">
      <w:pPr>
        <w:pStyle w:val="ListParagraph"/>
        <w:numPr>
          <w:ilvl w:val="3"/>
          <w:numId w:val="70"/>
        </w:numPr>
        <w:spacing w:after="0"/>
      </w:pPr>
      <w:r>
        <w:t>Thus FDRhat</w:t>
      </w:r>
      <w:r w:rsidRPr="005C01B1">
        <w:rPr>
          <w:vertAlign w:val="subscript"/>
        </w:rPr>
        <w:t>i</w:t>
      </w:r>
      <w:r>
        <w:t xml:space="preserve"> = n x p</w:t>
      </w:r>
      <w:r w:rsidRPr="005C01B1">
        <w:rPr>
          <w:vertAlign w:val="subscript"/>
        </w:rPr>
        <w:t>i</w:t>
      </w:r>
      <w:r>
        <w:t xml:space="preserve"> / i</w:t>
      </w:r>
    </w:p>
    <w:p w:rsidR="005B0732" w:rsidRDefault="005B0732" w:rsidP="004A2780">
      <w:pPr>
        <w:pStyle w:val="ListParagraph"/>
        <w:numPr>
          <w:ilvl w:val="3"/>
          <w:numId w:val="70"/>
        </w:numPr>
        <w:spacing w:after="0"/>
      </w:pPr>
      <w:r>
        <w:t>To control at a specific value of FDR (called q*), we simply find the largest value of i (call this value ‘k’) for which P</w:t>
      </w:r>
      <w:r w:rsidRPr="005B0732">
        <w:rPr>
          <w:vertAlign w:val="subscript"/>
        </w:rPr>
        <w:t>(i)</w:t>
      </w:r>
      <w:r>
        <w:t xml:space="preserve"> </w:t>
      </w:r>
      <w:r>
        <w:sym w:font="Symbol" w:char="F0A3"/>
      </w:r>
      <w:r>
        <w:t xml:space="preserve"> (i/n) x q*</w:t>
      </w:r>
    </w:p>
    <w:p w:rsidR="005B0732" w:rsidRDefault="005B0732" w:rsidP="005B0732">
      <w:pPr>
        <w:pStyle w:val="ListParagraph"/>
        <w:numPr>
          <w:ilvl w:val="4"/>
          <w:numId w:val="70"/>
        </w:numPr>
        <w:spacing w:after="0"/>
      </w:pPr>
      <w:r>
        <w:t>then reject all H</w:t>
      </w:r>
      <w:r w:rsidRPr="005B0732">
        <w:rPr>
          <w:vertAlign w:val="subscript"/>
        </w:rPr>
        <w:t>(i)</w:t>
      </w:r>
      <w:r>
        <w:t xml:space="preserve"> i = 1, 2, . . . , k</w:t>
      </w:r>
    </w:p>
    <w:p w:rsidR="00BE3A0E" w:rsidRDefault="00BE3A0E" w:rsidP="004A2780">
      <w:pPr>
        <w:pStyle w:val="ListParagraph"/>
        <w:numPr>
          <w:ilvl w:val="3"/>
          <w:numId w:val="70"/>
        </w:numPr>
        <w:spacing w:after="0"/>
      </w:pPr>
      <w:r>
        <w:t>If all H0 are true, then FDR = FWER</w:t>
      </w:r>
    </w:p>
    <w:p w:rsidR="00265126" w:rsidRDefault="00265126" w:rsidP="004A2780">
      <w:pPr>
        <w:pStyle w:val="ListParagraph"/>
        <w:numPr>
          <w:ilvl w:val="3"/>
          <w:numId w:val="70"/>
        </w:numPr>
        <w:spacing w:after="0"/>
      </w:pPr>
      <w:r>
        <w:t>FDR is appropriate when a single falsely rejected H0 (i.e. false positive) is not too dangerous</w:t>
      </w:r>
      <w:r w:rsidR="000729C8">
        <w:t xml:space="preserve"> – see my MATLAB code: </w:t>
      </w:r>
      <w:r w:rsidR="000729C8" w:rsidRPr="00804020">
        <w:rPr>
          <w:color w:val="00B050"/>
        </w:rPr>
        <w:t>FDRdemo.m</w:t>
      </w:r>
    </w:p>
    <w:p w:rsidR="00337978" w:rsidRDefault="00337978" w:rsidP="00337978">
      <w:pPr>
        <w:spacing w:after="0"/>
      </w:pPr>
    </w:p>
    <w:p w:rsidR="00804020" w:rsidRDefault="00804020" w:rsidP="00337978">
      <w:pPr>
        <w:spacing w:after="0"/>
      </w:pPr>
    </w:p>
    <w:p w:rsidR="00804020" w:rsidRDefault="00804020" w:rsidP="00337978">
      <w:pPr>
        <w:spacing w:after="0"/>
      </w:pPr>
    </w:p>
    <w:p w:rsidR="00804020" w:rsidRDefault="00804020" w:rsidP="00337978">
      <w:pPr>
        <w:spacing w:after="0"/>
      </w:pPr>
    </w:p>
    <w:p w:rsidR="00804020" w:rsidRDefault="00804020" w:rsidP="00337978">
      <w:pPr>
        <w:spacing w:after="0"/>
      </w:pPr>
    </w:p>
    <w:p w:rsidR="00804020" w:rsidRDefault="00804020" w:rsidP="00337978">
      <w:pPr>
        <w:spacing w:after="0"/>
      </w:pPr>
    </w:p>
    <w:p w:rsidR="00095433" w:rsidRPr="00951FE5" w:rsidRDefault="00095433" w:rsidP="00951FE5">
      <w:pPr>
        <w:rPr>
          <w:b/>
        </w:rPr>
      </w:pPr>
      <w:r w:rsidRPr="00095433">
        <w:rPr>
          <w:b/>
        </w:rPr>
        <w:lastRenderedPageBreak/>
        <w:t>False Discovery Rate and the q-value:</w:t>
      </w:r>
    </w:p>
    <w:p w:rsidR="00095433" w:rsidRPr="00095433" w:rsidRDefault="00095433" w:rsidP="00095433">
      <w:pPr>
        <w:spacing w:after="0"/>
      </w:pPr>
    </w:p>
    <w:tbl>
      <w:tblPr>
        <w:tblStyle w:val="TableGrid"/>
        <w:tblW w:w="0" w:type="auto"/>
        <w:jc w:val="center"/>
        <w:tblLook w:val="01E0" w:firstRow="1" w:lastRow="1" w:firstColumn="1" w:lastColumn="1" w:noHBand="0" w:noVBand="0"/>
      </w:tblPr>
      <w:tblGrid>
        <w:gridCol w:w="1368"/>
        <w:gridCol w:w="1980"/>
        <w:gridCol w:w="2880"/>
        <w:gridCol w:w="900"/>
      </w:tblGrid>
      <w:tr w:rsidR="00095433" w:rsidRPr="00095433" w:rsidTr="006B6BEB">
        <w:trPr>
          <w:jc w:val="center"/>
        </w:trPr>
        <w:tc>
          <w:tcPr>
            <w:tcW w:w="1368" w:type="dxa"/>
          </w:tcPr>
          <w:p w:rsidR="00095433" w:rsidRPr="00095433" w:rsidRDefault="00095433" w:rsidP="00095433">
            <w:pPr>
              <w:spacing w:line="276" w:lineRule="auto"/>
            </w:pPr>
          </w:p>
        </w:tc>
        <w:tc>
          <w:tcPr>
            <w:tcW w:w="1980" w:type="dxa"/>
          </w:tcPr>
          <w:p w:rsidR="00095433" w:rsidRPr="00095433" w:rsidRDefault="00095433" w:rsidP="00095433">
            <w:pPr>
              <w:spacing w:line="276" w:lineRule="auto"/>
            </w:pPr>
            <w:r w:rsidRPr="00095433">
              <w:t>Called significant</w:t>
            </w:r>
          </w:p>
          <w:p w:rsidR="00095433" w:rsidRPr="00095433" w:rsidRDefault="00095433" w:rsidP="00095433">
            <w:pPr>
              <w:spacing w:line="276" w:lineRule="auto"/>
            </w:pPr>
            <w:r w:rsidRPr="00095433">
              <w:t>(H0 rejected)</w:t>
            </w:r>
          </w:p>
        </w:tc>
        <w:tc>
          <w:tcPr>
            <w:tcW w:w="2880" w:type="dxa"/>
          </w:tcPr>
          <w:p w:rsidR="00095433" w:rsidRPr="00095433" w:rsidRDefault="00095433" w:rsidP="00095433">
            <w:pPr>
              <w:spacing w:line="276" w:lineRule="auto"/>
            </w:pPr>
            <w:r w:rsidRPr="00095433">
              <w:t>Called not significant</w:t>
            </w:r>
          </w:p>
          <w:p w:rsidR="00095433" w:rsidRPr="00095433" w:rsidRDefault="00095433" w:rsidP="00095433">
            <w:pPr>
              <w:spacing w:line="276" w:lineRule="auto"/>
            </w:pPr>
            <w:r w:rsidRPr="00095433">
              <w:t>(H0 accepted)</w:t>
            </w:r>
          </w:p>
        </w:tc>
        <w:tc>
          <w:tcPr>
            <w:tcW w:w="900" w:type="dxa"/>
          </w:tcPr>
          <w:p w:rsidR="00095433" w:rsidRPr="00095433" w:rsidRDefault="00095433" w:rsidP="00095433">
            <w:pPr>
              <w:spacing w:line="276" w:lineRule="auto"/>
              <w:rPr>
                <w:b/>
              </w:rPr>
            </w:pPr>
            <w:r w:rsidRPr="00095433">
              <w:rPr>
                <w:b/>
              </w:rPr>
              <w:t>Total</w:t>
            </w:r>
          </w:p>
        </w:tc>
      </w:tr>
      <w:tr w:rsidR="00095433" w:rsidRPr="00095433" w:rsidTr="006B6BEB">
        <w:trPr>
          <w:jc w:val="center"/>
        </w:trPr>
        <w:tc>
          <w:tcPr>
            <w:tcW w:w="1368" w:type="dxa"/>
          </w:tcPr>
          <w:p w:rsidR="00095433" w:rsidRPr="00095433" w:rsidRDefault="00095433" w:rsidP="00095433">
            <w:pPr>
              <w:spacing w:line="276" w:lineRule="auto"/>
            </w:pPr>
          </w:p>
          <w:p w:rsidR="00095433" w:rsidRPr="00095433" w:rsidRDefault="00095433" w:rsidP="00095433">
            <w:pPr>
              <w:spacing w:line="276" w:lineRule="auto"/>
            </w:pPr>
            <w:r w:rsidRPr="00095433">
              <w:t>H0 True</w:t>
            </w:r>
          </w:p>
        </w:tc>
        <w:tc>
          <w:tcPr>
            <w:tcW w:w="1980" w:type="dxa"/>
          </w:tcPr>
          <w:p w:rsidR="00095433" w:rsidRPr="00095433" w:rsidRDefault="00095433" w:rsidP="00095433">
            <w:pPr>
              <w:spacing w:line="276" w:lineRule="auto"/>
            </w:pPr>
            <w:r w:rsidRPr="00095433">
              <w:t>F</w:t>
            </w:r>
          </w:p>
          <w:p w:rsidR="00095433" w:rsidRPr="00095433" w:rsidRDefault="00095433" w:rsidP="00095433">
            <w:pPr>
              <w:spacing w:line="276" w:lineRule="auto"/>
            </w:pPr>
            <w:r w:rsidRPr="00095433">
              <w:t>False Positive</w:t>
            </w:r>
          </w:p>
          <w:p w:rsidR="00095433" w:rsidRPr="00095433" w:rsidRDefault="00095433" w:rsidP="00095433">
            <w:pPr>
              <w:spacing w:line="276" w:lineRule="auto"/>
            </w:pPr>
            <w:r w:rsidRPr="00095433">
              <w:t>"False Alarm"</w:t>
            </w:r>
          </w:p>
          <w:p w:rsidR="00EE1BBA" w:rsidRPr="00095433" w:rsidRDefault="00095433" w:rsidP="00095433">
            <w:pPr>
              <w:spacing w:line="276" w:lineRule="auto"/>
            </w:pPr>
            <w:r w:rsidRPr="00095433">
              <w:t>Type I error</w:t>
            </w:r>
          </w:p>
        </w:tc>
        <w:tc>
          <w:tcPr>
            <w:tcW w:w="2880" w:type="dxa"/>
          </w:tcPr>
          <w:p w:rsidR="00095433" w:rsidRPr="00095433" w:rsidRDefault="00095433" w:rsidP="00095433">
            <w:pPr>
              <w:spacing w:line="276" w:lineRule="auto"/>
            </w:pPr>
            <w:r w:rsidRPr="00095433">
              <w:t>m</w:t>
            </w:r>
            <w:r w:rsidRPr="00095433">
              <w:rPr>
                <w:vertAlign w:val="subscript"/>
              </w:rPr>
              <w:t>0</w:t>
            </w:r>
            <w:r w:rsidRPr="00095433">
              <w:t xml:space="preserve"> – F</w:t>
            </w:r>
          </w:p>
          <w:p w:rsidR="00095433" w:rsidRPr="00095433" w:rsidRDefault="00095433" w:rsidP="00095433">
            <w:pPr>
              <w:spacing w:line="276" w:lineRule="auto"/>
            </w:pPr>
            <w:r w:rsidRPr="00095433">
              <w:t>True Negative</w:t>
            </w:r>
          </w:p>
          <w:p w:rsidR="00095433" w:rsidRDefault="00095433" w:rsidP="00095433">
            <w:pPr>
              <w:spacing w:line="276" w:lineRule="auto"/>
            </w:pPr>
            <w:r w:rsidRPr="00095433">
              <w:t>"Correct Rejection"</w:t>
            </w:r>
          </w:p>
          <w:p w:rsidR="00EE1BBA" w:rsidRPr="00095433" w:rsidRDefault="00EE1BBA" w:rsidP="00095433">
            <w:pPr>
              <w:spacing w:line="276" w:lineRule="auto"/>
            </w:pPr>
          </w:p>
        </w:tc>
        <w:tc>
          <w:tcPr>
            <w:tcW w:w="900" w:type="dxa"/>
          </w:tcPr>
          <w:p w:rsidR="00095433" w:rsidRPr="00095433" w:rsidRDefault="00095433" w:rsidP="00095433">
            <w:pPr>
              <w:spacing w:line="276" w:lineRule="auto"/>
              <w:rPr>
                <w:b/>
              </w:rPr>
            </w:pPr>
            <w:r w:rsidRPr="00095433">
              <w:rPr>
                <w:b/>
              </w:rPr>
              <w:t>m</w:t>
            </w:r>
            <w:r w:rsidRPr="00095433">
              <w:rPr>
                <w:b/>
                <w:vertAlign w:val="subscript"/>
              </w:rPr>
              <w:t>0</w:t>
            </w:r>
          </w:p>
        </w:tc>
      </w:tr>
      <w:tr w:rsidR="00095433" w:rsidRPr="00095433" w:rsidTr="006B6BEB">
        <w:trPr>
          <w:jc w:val="center"/>
        </w:trPr>
        <w:tc>
          <w:tcPr>
            <w:tcW w:w="1368" w:type="dxa"/>
          </w:tcPr>
          <w:p w:rsidR="00095433" w:rsidRPr="00095433" w:rsidRDefault="00095433" w:rsidP="00095433">
            <w:pPr>
              <w:spacing w:line="276" w:lineRule="auto"/>
            </w:pPr>
          </w:p>
          <w:p w:rsidR="00095433" w:rsidRPr="00095433" w:rsidRDefault="00095433" w:rsidP="00095433">
            <w:pPr>
              <w:spacing w:line="276" w:lineRule="auto"/>
            </w:pPr>
            <w:r w:rsidRPr="00095433">
              <w:t>HA True</w:t>
            </w:r>
          </w:p>
          <w:p w:rsidR="00095433" w:rsidRPr="00095433" w:rsidRDefault="00095433" w:rsidP="00095433">
            <w:pPr>
              <w:spacing w:line="276" w:lineRule="auto"/>
            </w:pPr>
            <w:r w:rsidRPr="00095433">
              <w:t>(H0 False)</w:t>
            </w:r>
          </w:p>
        </w:tc>
        <w:tc>
          <w:tcPr>
            <w:tcW w:w="1980" w:type="dxa"/>
          </w:tcPr>
          <w:p w:rsidR="00095433" w:rsidRPr="00095433" w:rsidRDefault="00095433" w:rsidP="00095433">
            <w:pPr>
              <w:spacing w:line="276" w:lineRule="auto"/>
            </w:pPr>
            <w:r w:rsidRPr="00095433">
              <w:t>T</w:t>
            </w:r>
          </w:p>
          <w:p w:rsidR="00095433" w:rsidRPr="00095433" w:rsidRDefault="00095433" w:rsidP="00095433">
            <w:pPr>
              <w:spacing w:line="276" w:lineRule="auto"/>
            </w:pPr>
            <w:r w:rsidRPr="00095433">
              <w:t>True Positive</w:t>
            </w:r>
          </w:p>
          <w:p w:rsidR="00095433" w:rsidRDefault="00095433" w:rsidP="00095433">
            <w:pPr>
              <w:spacing w:line="276" w:lineRule="auto"/>
            </w:pPr>
            <w:r w:rsidRPr="00095433">
              <w:t>"Hit"</w:t>
            </w:r>
          </w:p>
          <w:p w:rsidR="00EE1BBA" w:rsidRPr="00095433" w:rsidRDefault="00EE1BBA" w:rsidP="00095433">
            <w:pPr>
              <w:spacing w:line="276" w:lineRule="auto"/>
            </w:pPr>
          </w:p>
        </w:tc>
        <w:tc>
          <w:tcPr>
            <w:tcW w:w="2880" w:type="dxa"/>
          </w:tcPr>
          <w:p w:rsidR="00095433" w:rsidRPr="00095433" w:rsidRDefault="00095433" w:rsidP="00095433">
            <w:pPr>
              <w:spacing w:line="276" w:lineRule="auto"/>
            </w:pPr>
            <w:r w:rsidRPr="00095433">
              <w:t>m</w:t>
            </w:r>
            <w:r w:rsidRPr="00095433">
              <w:rPr>
                <w:vertAlign w:val="subscript"/>
              </w:rPr>
              <w:t>A</w:t>
            </w:r>
            <w:r w:rsidRPr="00095433">
              <w:t xml:space="preserve"> – T</w:t>
            </w:r>
          </w:p>
          <w:p w:rsidR="00095433" w:rsidRPr="00095433" w:rsidRDefault="00095433" w:rsidP="00095433">
            <w:pPr>
              <w:spacing w:line="276" w:lineRule="auto"/>
            </w:pPr>
            <w:r w:rsidRPr="00095433">
              <w:t>False Negative</w:t>
            </w:r>
          </w:p>
          <w:p w:rsidR="00095433" w:rsidRPr="00095433" w:rsidRDefault="00095433" w:rsidP="00095433">
            <w:pPr>
              <w:spacing w:line="276" w:lineRule="auto"/>
            </w:pPr>
            <w:r w:rsidRPr="00095433">
              <w:t>"Miss"</w:t>
            </w:r>
          </w:p>
          <w:p w:rsidR="00EE1BBA" w:rsidRPr="00095433" w:rsidRDefault="00095433" w:rsidP="00095433">
            <w:pPr>
              <w:spacing w:line="276" w:lineRule="auto"/>
            </w:pPr>
            <w:r w:rsidRPr="00095433">
              <w:t>Type II error</w:t>
            </w:r>
          </w:p>
        </w:tc>
        <w:tc>
          <w:tcPr>
            <w:tcW w:w="900" w:type="dxa"/>
          </w:tcPr>
          <w:p w:rsidR="00095433" w:rsidRPr="00095433" w:rsidRDefault="00095433" w:rsidP="00095433">
            <w:pPr>
              <w:spacing w:line="276" w:lineRule="auto"/>
              <w:rPr>
                <w:b/>
              </w:rPr>
            </w:pPr>
            <w:r w:rsidRPr="00095433">
              <w:rPr>
                <w:b/>
              </w:rPr>
              <w:t>m</w:t>
            </w:r>
            <w:r w:rsidRPr="00095433">
              <w:rPr>
                <w:b/>
                <w:vertAlign w:val="subscript"/>
              </w:rPr>
              <w:t>A</w:t>
            </w:r>
          </w:p>
        </w:tc>
      </w:tr>
      <w:tr w:rsidR="00095433" w:rsidRPr="00095433" w:rsidTr="006B6BEB">
        <w:trPr>
          <w:jc w:val="center"/>
        </w:trPr>
        <w:tc>
          <w:tcPr>
            <w:tcW w:w="1368" w:type="dxa"/>
          </w:tcPr>
          <w:p w:rsidR="00095433" w:rsidRPr="00095433" w:rsidRDefault="00095433" w:rsidP="00095433">
            <w:pPr>
              <w:spacing w:line="276" w:lineRule="auto"/>
              <w:rPr>
                <w:b/>
              </w:rPr>
            </w:pPr>
            <w:r w:rsidRPr="00095433">
              <w:rPr>
                <w:b/>
              </w:rPr>
              <w:t>Total</w:t>
            </w:r>
          </w:p>
        </w:tc>
        <w:tc>
          <w:tcPr>
            <w:tcW w:w="1980" w:type="dxa"/>
          </w:tcPr>
          <w:p w:rsidR="00095433" w:rsidRPr="00095433" w:rsidRDefault="00095433" w:rsidP="00095433">
            <w:pPr>
              <w:spacing w:line="276" w:lineRule="auto"/>
              <w:rPr>
                <w:b/>
              </w:rPr>
            </w:pPr>
            <w:r w:rsidRPr="00095433">
              <w:rPr>
                <w:b/>
              </w:rPr>
              <w:t>S</w:t>
            </w:r>
          </w:p>
        </w:tc>
        <w:tc>
          <w:tcPr>
            <w:tcW w:w="2880" w:type="dxa"/>
          </w:tcPr>
          <w:p w:rsidR="00095433" w:rsidRPr="00095433" w:rsidRDefault="00095433" w:rsidP="00095433">
            <w:pPr>
              <w:spacing w:line="276" w:lineRule="auto"/>
              <w:rPr>
                <w:b/>
              </w:rPr>
            </w:pPr>
            <w:r w:rsidRPr="00095433">
              <w:rPr>
                <w:b/>
              </w:rPr>
              <w:t>m – S</w:t>
            </w:r>
          </w:p>
        </w:tc>
        <w:tc>
          <w:tcPr>
            <w:tcW w:w="900" w:type="dxa"/>
          </w:tcPr>
          <w:p w:rsidR="00095433" w:rsidRPr="00095433" w:rsidRDefault="00095433" w:rsidP="00095433">
            <w:pPr>
              <w:spacing w:line="276" w:lineRule="auto"/>
              <w:rPr>
                <w:b/>
              </w:rPr>
            </w:pPr>
            <w:r w:rsidRPr="00095433">
              <w:rPr>
                <w:b/>
              </w:rPr>
              <w:t>m</w:t>
            </w:r>
          </w:p>
        </w:tc>
      </w:tr>
    </w:tbl>
    <w:p w:rsidR="00095433" w:rsidRPr="00095433" w:rsidRDefault="00095433" w:rsidP="00095433">
      <w:pPr>
        <w:spacing w:after="0"/>
      </w:pPr>
    </w:p>
    <w:p w:rsidR="00095433" w:rsidRPr="00095433" w:rsidRDefault="00095433" w:rsidP="00095433">
      <w:pPr>
        <w:spacing w:after="0"/>
      </w:pPr>
      <w:r w:rsidRPr="00095433">
        <w:t>The table above helps us think about hypothesis testing in general. It gives all four possible outcomes of such a test, with the rows corresponding to the "ground truth" and the columns corresponding to how our test classifies the comparison. [</w:t>
      </w:r>
      <w:r w:rsidRPr="00095433">
        <w:rPr>
          <w:b/>
        </w:rPr>
        <w:t>Note</w:t>
      </w:r>
      <w:r w:rsidRPr="00095433">
        <w:t>: This same formalism is used in "Signal Detection Theory," which was developed by physicists and is now heavily used in the psychology of perception. I've included the corresponding terms in quotation marks.]</w:t>
      </w:r>
    </w:p>
    <w:p w:rsidR="00095433" w:rsidRPr="00095433" w:rsidRDefault="00095433" w:rsidP="00095433">
      <w:pPr>
        <w:spacing w:after="0"/>
      </w:pPr>
    </w:p>
    <w:p w:rsidR="00095433" w:rsidRPr="00095433" w:rsidRDefault="00095433" w:rsidP="00095433">
      <w:pPr>
        <w:spacing w:after="0"/>
      </w:pPr>
      <w:r w:rsidRPr="00095433">
        <w:t xml:space="preserve">Most folks are comfortable with P-values, which give the probability of wrongly rejecting H0, also known as the </w:t>
      </w:r>
      <w:r w:rsidRPr="00095433">
        <w:rPr>
          <w:i/>
        </w:rPr>
        <w:t>false positive rate (FPR)</w:t>
      </w:r>
      <w:r w:rsidRPr="00095433">
        <w:t xml:space="preserve">. A related, but critically different, measure is called the </w:t>
      </w:r>
      <w:r w:rsidRPr="00095433">
        <w:rPr>
          <w:i/>
        </w:rPr>
        <w:t>false discovery rate (FDR)</w:t>
      </w:r>
      <w:r w:rsidRPr="00095433">
        <w:t xml:space="preserve">, which gives the proportion of tests labeled as "significant" when, in fact, H0 was true. </w:t>
      </w:r>
      <w:r w:rsidRPr="00442677">
        <w:rPr>
          <w:highlight w:val="yellow"/>
        </w:rPr>
        <w:t xml:space="preserve">In both cases, the numerator is the number of false positives, </w:t>
      </w:r>
      <w:r w:rsidRPr="00442677">
        <w:rPr>
          <w:i/>
          <w:highlight w:val="yellow"/>
        </w:rPr>
        <w:t>F</w:t>
      </w:r>
      <w:r w:rsidRPr="00442677">
        <w:rPr>
          <w:highlight w:val="yellow"/>
        </w:rPr>
        <w:t>, but, for the former, the denominator is the upper row total (m</w:t>
      </w:r>
      <w:r w:rsidRPr="00442677">
        <w:rPr>
          <w:highlight w:val="yellow"/>
          <w:vertAlign w:val="subscript"/>
        </w:rPr>
        <w:t>0</w:t>
      </w:r>
      <w:r w:rsidRPr="00442677">
        <w:rPr>
          <w:highlight w:val="yellow"/>
        </w:rPr>
        <w:t>), and, for the latter, it is the left column total (S)</w:t>
      </w:r>
      <w:r w:rsidRPr="00095433">
        <w:t>.</w:t>
      </w:r>
    </w:p>
    <w:p w:rsidR="00095433" w:rsidRPr="00095433" w:rsidRDefault="00095433" w:rsidP="00095433">
      <w:pPr>
        <w:spacing w:after="0"/>
      </w:pPr>
    </w:p>
    <w:p w:rsidR="00095433" w:rsidRPr="00095433" w:rsidRDefault="00095433" w:rsidP="00095433">
      <w:pPr>
        <w:spacing w:after="0"/>
        <w:rPr>
          <w:vertAlign w:val="subscript"/>
        </w:rPr>
      </w:pPr>
      <w:r w:rsidRPr="00095433">
        <w:rPr>
          <w:b/>
        </w:rPr>
        <w:t>FPR</w:t>
      </w:r>
      <w:r w:rsidRPr="00095433">
        <w:t xml:space="preserve"> = F / (F + m</w:t>
      </w:r>
      <w:r w:rsidRPr="00095433">
        <w:rPr>
          <w:vertAlign w:val="subscript"/>
        </w:rPr>
        <w:t xml:space="preserve">0 </w:t>
      </w:r>
      <w:r w:rsidRPr="00095433">
        <w:t>– F) = F / m</w:t>
      </w:r>
      <w:r w:rsidRPr="00095433">
        <w:rPr>
          <w:vertAlign w:val="subscript"/>
        </w:rPr>
        <w:t>0</w:t>
      </w:r>
      <w:r w:rsidRPr="00095433">
        <w:rPr>
          <w:vertAlign w:val="subscript"/>
        </w:rPr>
        <w:tab/>
      </w:r>
      <w:r w:rsidRPr="00095433">
        <w:rPr>
          <w:b/>
        </w:rPr>
        <w:t>FDR</w:t>
      </w:r>
      <w:r w:rsidRPr="00095433">
        <w:t xml:space="preserve"> = F / (F + T) = F/S</w:t>
      </w:r>
    </w:p>
    <w:p w:rsidR="00095433" w:rsidRPr="00095433" w:rsidRDefault="00095433" w:rsidP="00095433">
      <w:pPr>
        <w:spacing w:after="0"/>
      </w:pPr>
    </w:p>
    <w:p w:rsidR="00095433" w:rsidRPr="00095433" w:rsidRDefault="00095433" w:rsidP="00095433">
      <w:pPr>
        <w:spacing w:after="0"/>
      </w:pPr>
      <w:r w:rsidRPr="00095433">
        <w:t>Related values that are also used to discuss this issue:</w:t>
      </w:r>
    </w:p>
    <w:p w:rsidR="00095433" w:rsidRPr="00095433" w:rsidRDefault="00095433" w:rsidP="00095433">
      <w:pPr>
        <w:spacing w:after="0"/>
        <w:rPr>
          <w:vertAlign w:val="subscript"/>
        </w:rPr>
      </w:pPr>
      <w:r w:rsidRPr="00095433">
        <w:rPr>
          <w:i/>
        </w:rPr>
        <w:t>sensitivity</w:t>
      </w:r>
      <w:r w:rsidRPr="00095433">
        <w:t xml:space="preserve"> = T / m</w:t>
      </w:r>
      <w:r w:rsidRPr="00095433">
        <w:rPr>
          <w:vertAlign w:val="subscript"/>
        </w:rPr>
        <w:t>A</w:t>
      </w:r>
      <w:r w:rsidRPr="00095433">
        <w:t xml:space="preserve"> </w:t>
      </w:r>
      <w:r w:rsidRPr="00095433">
        <w:tab/>
      </w:r>
      <w:r w:rsidRPr="00095433">
        <w:rPr>
          <w:i/>
        </w:rPr>
        <w:t>specificity</w:t>
      </w:r>
      <w:r w:rsidRPr="00095433">
        <w:t xml:space="preserve"> = (m</w:t>
      </w:r>
      <w:r w:rsidRPr="00095433">
        <w:rPr>
          <w:vertAlign w:val="subscript"/>
        </w:rPr>
        <w:t>0</w:t>
      </w:r>
      <w:r w:rsidRPr="00095433">
        <w:t xml:space="preserve"> – F) / m</w:t>
      </w:r>
      <w:r w:rsidRPr="00095433">
        <w:rPr>
          <w:vertAlign w:val="subscript"/>
        </w:rPr>
        <w:t>0</w:t>
      </w:r>
    </w:p>
    <w:p w:rsidR="00095433" w:rsidRPr="00095433" w:rsidRDefault="00095433" w:rsidP="00095433">
      <w:pPr>
        <w:spacing w:after="0"/>
      </w:pPr>
    </w:p>
    <w:p w:rsidR="00473E0A" w:rsidRDefault="00473E0A" w:rsidP="00095433">
      <w:pPr>
        <w:spacing w:after="0"/>
      </w:pPr>
      <w:r w:rsidRPr="00473E0A">
        <w:rPr>
          <w:b/>
          <w:u w:val="single"/>
        </w:rPr>
        <w:t>Q-value</w:t>
      </w:r>
      <w:r>
        <w:t xml:space="preserve">: </w:t>
      </w:r>
    </w:p>
    <w:p w:rsidR="009260D9" w:rsidRDefault="00473E0A" w:rsidP="00473E0A">
      <w:pPr>
        <w:pStyle w:val="ListParagraph"/>
        <w:numPr>
          <w:ilvl w:val="0"/>
          <w:numId w:val="70"/>
        </w:numPr>
        <w:spacing w:after="0"/>
      </w:pPr>
      <w:r>
        <w:t>an extension of the original Benjamini &amp; Hochberg approach</w:t>
      </w:r>
    </w:p>
    <w:p w:rsidR="00530927" w:rsidRDefault="00530927" w:rsidP="00473E0A">
      <w:pPr>
        <w:pStyle w:val="ListParagraph"/>
        <w:numPr>
          <w:ilvl w:val="0"/>
          <w:numId w:val="70"/>
        </w:numPr>
        <w:spacing w:after="0"/>
      </w:pPr>
      <w:r>
        <w:t xml:space="preserve">rather than using the total # of tests to calculate the number of false positives, </w:t>
      </w:r>
      <w:r w:rsidRPr="00442677">
        <w:rPr>
          <w:highlight w:val="yellow"/>
        </w:rPr>
        <w:t xml:space="preserve">Storey </w:t>
      </w:r>
      <w:r w:rsidR="007473FF" w:rsidRPr="00442677">
        <w:rPr>
          <w:highlight w:val="yellow"/>
        </w:rPr>
        <w:t>estimates the number of null hypotheses using the data</w:t>
      </w:r>
      <w:r w:rsidR="00442677">
        <w:t xml:space="preserve"> (Empirical Bayes!)</w:t>
      </w:r>
      <w:r w:rsidR="007473FF">
        <w:t>:</w:t>
      </w:r>
    </w:p>
    <w:p w:rsidR="007473FF" w:rsidRDefault="007473FF" w:rsidP="007473FF">
      <w:pPr>
        <w:pStyle w:val="ListParagraph"/>
        <w:numPr>
          <w:ilvl w:val="1"/>
          <w:numId w:val="70"/>
        </w:numPr>
        <w:spacing w:after="0"/>
      </w:pPr>
      <w:r>
        <w:t>FDRhat</w:t>
      </w:r>
      <w:r w:rsidRPr="007473FF">
        <w:rPr>
          <w:vertAlign w:val="subscript"/>
        </w:rPr>
        <w:t>i</w:t>
      </w:r>
      <w:r>
        <w:t xml:space="preserve"> = min</w:t>
      </w:r>
      <w:r w:rsidRPr="007473FF">
        <w:rPr>
          <w:vertAlign w:val="subscript"/>
        </w:rPr>
        <w:t>p</w:t>
      </w:r>
      <w:r w:rsidRPr="007473FF">
        <w:rPr>
          <w:vertAlign w:val="subscript"/>
        </w:rPr>
        <w:sym w:font="Symbol" w:char="F0B3"/>
      </w:r>
      <w:r w:rsidRPr="007473FF">
        <w:rPr>
          <w:vertAlign w:val="subscript"/>
        </w:rPr>
        <w:t xml:space="preserve">pi </w:t>
      </w:r>
      <w:r>
        <w:t>[(nhat</w:t>
      </w:r>
      <w:r w:rsidRPr="007473FF">
        <w:rPr>
          <w:vertAlign w:val="subscript"/>
        </w:rPr>
        <w:t>0</w:t>
      </w:r>
      <w:r>
        <w:t xml:space="preserve"> x p</w:t>
      </w:r>
      <w:r w:rsidRPr="007473FF">
        <w:rPr>
          <w:vertAlign w:val="subscript"/>
        </w:rPr>
        <w:t>i</w:t>
      </w:r>
      <w:r>
        <w:t>) / i]</w:t>
      </w:r>
    </w:p>
    <w:p w:rsidR="0052523C" w:rsidRDefault="0052523C" w:rsidP="007473FF">
      <w:pPr>
        <w:pStyle w:val="ListParagraph"/>
        <w:numPr>
          <w:ilvl w:val="1"/>
          <w:numId w:val="70"/>
        </w:numPr>
        <w:spacing w:after="0"/>
      </w:pPr>
      <w:r>
        <w:t>a.k.a. q-value</w:t>
      </w:r>
    </w:p>
    <w:p w:rsidR="0052523C" w:rsidRDefault="0052523C" w:rsidP="0052523C">
      <w:pPr>
        <w:pStyle w:val="ListParagraph"/>
        <w:numPr>
          <w:ilvl w:val="1"/>
          <w:numId w:val="70"/>
        </w:numPr>
        <w:spacing w:after="0"/>
      </w:pPr>
      <w:r w:rsidRPr="0052523C">
        <w:t>The derivation is relatively straightforward and can be found in Storey (2002) or Storey &amp; Tibshirani (2003)</w:t>
      </w:r>
    </w:p>
    <w:p w:rsidR="001367E8" w:rsidRDefault="001367E8" w:rsidP="00EE1BBA">
      <w:pPr>
        <w:spacing w:after="0"/>
      </w:pPr>
    </w:p>
    <w:p w:rsidR="00804020" w:rsidRDefault="00804020" w:rsidP="00EE1BBA">
      <w:pPr>
        <w:spacing w:after="0"/>
      </w:pPr>
    </w:p>
    <w:p w:rsidR="00804020" w:rsidRDefault="00804020" w:rsidP="00EE1BBA">
      <w:pPr>
        <w:spacing w:after="0"/>
      </w:pPr>
    </w:p>
    <w:p w:rsidR="00804020" w:rsidRDefault="00804020" w:rsidP="00EE1BBA">
      <w:pPr>
        <w:spacing w:after="0"/>
      </w:pPr>
    </w:p>
    <w:p w:rsidR="00804020" w:rsidRDefault="00804020" w:rsidP="00EE1BBA">
      <w:pPr>
        <w:spacing w:after="0"/>
      </w:pPr>
    </w:p>
    <w:p w:rsidR="00804020" w:rsidRDefault="00804020" w:rsidP="00EE1BBA">
      <w:pPr>
        <w:spacing w:after="0"/>
      </w:pPr>
    </w:p>
    <w:p w:rsidR="00804020" w:rsidRDefault="00804020" w:rsidP="00EE1BBA">
      <w:pPr>
        <w:spacing w:after="0"/>
      </w:pPr>
    </w:p>
    <w:p w:rsidR="00EE1BBA" w:rsidRDefault="00EE1BBA" w:rsidP="00EE1BBA">
      <w:pPr>
        <w:spacing w:after="0"/>
      </w:pPr>
      <w:bookmarkStart w:id="0" w:name="_GoBack"/>
      <w:bookmarkEnd w:id="0"/>
      <w:r>
        <w:lastRenderedPageBreak/>
        <w:t>The same table above using the annotation of Storey 2001 (classic on FDR)</w:t>
      </w:r>
    </w:p>
    <w:p w:rsidR="00EE1BBA" w:rsidRDefault="00EE1BBA" w:rsidP="00EE1BBA">
      <w:pPr>
        <w:spacing w:after="0"/>
      </w:pPr>
    </w:p>
    <w:tbl>
      <w:tblPr>
        <w:tblStyle w:val="TableGrid"/>
        <w:tblW w:w="0" w:type="auto"/>
        <w:jc w:val="center"/>
        <w:tblLook w:val="01E0" w:firstRow="1" w:lastRow="1" w:firstColumn="1" w:lastColumn="1" w:noHBand="0" w:noVBand="0"/>
      </w:tblPr>
      <w:tblGrid>
        <w:gridCol w:w="1368"/>
        <w:gridCol w:w="1980"/>
        <w:gridCol w:w="2880"/>
        <w:gridCol w:w="900"/>
      </w:tblGrid>
      <w:tr w:rsidR="00EE1BBA" w:rsidRPr="00EE1BBA" w:rsidTr="00AB4BF7">
        <w:trPr>
          <w:jc w:val="center"/>
        </w:trPr>
        <w:tc>
          <w:tcPr>
            <w:tcW w:w="1368" w:type="dxa"/>
          </w:tcPr>
          <w:p w:rsidR="00EE1BBA" w:rsidRPr="00EE1BBA" w:rsidRDefault="00EE1BBA" w:rsidP="00EE1BBA">
            <w:pPr>
              <w:spacing w:line="276" w:lineRule="auto"/>
            </w:pPr>
          </w:p>
        </w:tc>
        <w:tc>
          <w:tcPr>
            <w:tcW w:w="1980" w:type="dxa"/>
          </w:tcPr>
          <w:p w:rsidR="00EE1BBA" w:rsidRPr="00EE1BBA" w:rsidRDefault="00EE1BBA" w:rsidP="00EE1BBA">
            <w:pPr>
              <w:spacing w:line="276" w:lineRule="auto"/>
            </w:pPr>
            <w:r w:rsidRPr="00EE1BBA">
              <w:t>Called significant</w:t>
            </w:r>
          </w:p>
          <w:p w:rsidR="00EE1BBA" w:rsidRPr="00EE1BBA" w:rsidRDefault="00EE1BBA" w:rsidP="00EE1BBA">
            <w:pPr>
              <w:spacing w:line="276" w:lineRule="auto"/>
            </w:pPr>
            <w:r w:rsidRPr="00EE1BBA">
              <w:t>(H0 rejected)</w:t>
            </w:r>
          </w:p>
        </w:tc>
        <w:tc>
          <w:tcPr>
            <w:tcW w:w="2880" w:type="dxa"/>
          </w:tcPr>
          <w:p w:rsidR="00EE1BBA" w:rsidRPr="00EE1BBA" w:rsidRDefault="00EE1BBA" w:rsidP="00EE1BBA">
            <w:pPr>
              <w:spacing w:line="276" w:lineRule="auto"/>
            </w:pPr>
            <w:r w:rsidRPr="00EE1BBA">
              <w:t>Called not significant</w:t>
            </w:r>
          </w:p>
          <w:p w:rsidR="00EE1BBA" w:rsidRPr="00EE1BBA" w:rsidRDefault="00EE1BBA" w:rsidP="00EE1BBA">
            <w:pPr>
              <w:spacing w:line="276" w:lineRule="auto"/>
            </w:pPr>
            <w:r w:rsidRPr="00EE1BBA">
              <w:t>(H0 accepted)</w:t>
            </w:r>
          </w:p>
        </w:tc>
        <w:tc>
          <w:tcPr>
            <w:tcW w:w="900" w:type="dxa"/>
          </w:tcPr>
          <w:p w:rsidR="00EE1BBA" w:rsidRPr="00EE1BBA" w:rsidRDefault="00EE1BBA" w:rsidP="00EE1BBA">
            <w:pPr>
              <w:spacing w:line="276" w:lineRule="auto"/>
              <w:rPr>
                <w:b/>
              </w:rPr>
            </w:pPr>
            <w:r w:rsidRPr="00EE1BBA">
              <w:rPr>
                <w:b/>
              </w:rPr>
              <w:t>Total</w:t>
            </w:r>
          </w:p>
        </w:tc>
      </w:tr>
      <w:tr w:rsidR="00EE1BBA" w:rsidRPr="00EE1BBA" w:rsidTr="00AB4BF7">
        <w:trPr>
          <w:jc w:val="center"/>
        </w:trPr>
        <w:tc>
          <w:tcPr>
            <w:tcW w:w="1368" w:type="dxa"/>
          </w:tcPr>
          <w:p w:rsidR="00EE1BBA" w:rsidRPr="00EE1BBA" w:rsidRDefault="00EE1BBA" w:rsidP="00EE1BBA">
            <w:pPr>
              <w:spacing w:line="276" w:lineRule="auto"/>
            </w:pPr>
            <w:r w:rsidRPr="00EE1BBA">
              <w:t>H0 True</w:t>
            </w:r>
          </w:p>
        </w:tc>
        <w:tc>
          <w:tcPr>
            <w:tcW w:w="1980" w:type="dxa"/>
          </w:tcPr>
          <w:p w:rsidR="00EE1BBA" w:rsidRDefault="00EE1BBA" w:rsidP="00EE1BBA">
            <w:pPr>
              <w:spacing w:line="276" w:lineRule="auto"/>
            </w:pPr>
            <w:r>
              <w:t>V</w:t>
            </w:r>
          </w:p>
          <w:p w:rsidR="00EE1BBA" w:rsidRPr="00EE1BBA" w:rsidRDefault="00EE1BBA" w:rsidP="00EE1BBA">
            <w:pPr>
              <w:spacing w:line="276" w:lineRule="auto"/>
            </w:pPr>
          </w:p>
        </w:tc>
        <w:tc>
          <w:tcPr>
            <w:tcW w:w="2880" w:type="dxa"/>
          </w:tcPr>
          <w:p w:rsidR="00EE1BBA" w:rsidRPr="00EE1BBA" w:rsidRDefault="00EE1BBA" w:rsidP="00EE1BBA">
            <w:pPr>
              <w:spacing w:line="276" w:lineRule="auto"/>
            </w:pPr>
            <w:r>
              <w:t>U</w:t>
            </w:r>
          </w:p>
        </w:tc>
        <w:tc>
          <w:tcPr>
            <w:tcW w:w="900" w:type="dxa"/>
          </w:tcPr>
          <w:p w:rsidR="00EE1BBA" w:rsidRPr="00EE1BBA" w:rsidRDefault="00EE1BBA" w:rsidP="00EE1BBA">
            <w:pPr>
              <w:spacing w:line="276" w:lineRule="auto"/>
              <w:rPr>
                <w:b/>
              </w:rPr>
            </w:pPr>
            <w:r w:rsidRPr="00EE1BBA">
              <w:rPr>
                <w:b/>
              </w:rPr>
              <w:t>m</w:t>
            </w:r>
            <w:r w:rsidRPr="00EE1BBA">
              <w:rPr>
                <w:b/>
                <w:vertAlign w:val="subscript"/>
              </w:rPr>
              <w:t>0</w:t>
            </w:r>
          </w:p>
        </w:tc>
      </w:tr>
      <w:tr w:rsidR="00EE1BBA" w:rsidRPr="00EE1BBA" w:rsidTr="00AB4BF7">
        <w:trPr>
          <w:jc w:val="center"/>
        </w:trPr>
        <w:tc>
          <w:tcPr>
            <w:tcW w:w="1368" w:type="dxa"/>
          </w:tcPr>
          <w:p w:rsidR="00EE1BBA" w:rsidRPr="00EE1BBA" w:rsidRDefault="00EE1BBA" w:rsidP="00EE1BBA">
            <w:pPr>
              <w:spacing w:line="276" w:lineRule="auto"/>
            </w:pPr>
            <w:r w:rsidRPr="00EE1BBA">
              <w:t>HA True</w:t>
            </w:r>
          </w:p>
          <w:p w:rsidR="00EE1BBA" w:rsidRPr="00EE1BBA" w:rsidRDefault="00EE1BBA" w:rsidP="00EE1BBA">
            <w:pPr>
              <w:spacing w:line="276" w:lineRule="auto"/>
            </w:pPr>
            <w:r w:rsidRPr="00EE1BBA">
              <w:t>(H0 False)</w:t>
            </w:r>
          </w:p>
        </w:tc>
        <w:tc>
          <w:tcPr>
            <w:tcW w:w="1980" w:type="dxa"/>
          </w:tcPr>
          <w:p w:rsidR="00EE1BBA" w:rsidRPr="00EE1BBA" w:rsidRDefault="00EE1BBA" w:rsidP="00EE1BBA">
            <w:pPr>
              <w:spacing w:line="276" w:lineRule="auto"/>
            </w:pPr>
            <w:r>
              <w:t>S</w:t>
            </w:r>
          </w:p>
        </w:tc>
        <w:tc>
          <w:tcPr>
            <w:tcW w:w="2880" w:type="dxa"/>
          </w:tcPr>
          <w:p w:rsidR="00EE1BBA" w:rsidRPr="00EE1BBA" w:rsidRDefault="00EE1BBA" w:rsidP="00EE1BBA">
            <w:pPr>
              <w:spacing w:line="276" w:lineRule="auto"/>
            </w:pPr>
            <w:r>
              <w:t>T</w:t>
            </w:r>
          </w:p>
        </w:tc>
        <w:tc>
          <w:tcPr>
            <w:tcW w:w="900" w:type="dxa"/>
          </w:tcPr>
          <w:p w:rsidR="00EE1BBA" w:rsidRPr="00EE1BBA" w:rsidRDefault="00EE1BBA" w:rsidP="00EE1BBA">
            <w:pPr>
              <w:spacing w:line="276" w:lineRule="auto"/>
              <w:rPr>
                <w:b/>
              </w:rPr>
            </w:pPr>
            <w:r w:rsidRPr="00EE1BBA">
              <w:rPr>
                <w:b/>
              </w:rPr>
              <w:t>m</w:t>
            </w:r>
            <w:r>
              <w:rPr>
                <w:b/>
                <w:vertAlign w:val="subscript"/>
              </w:rPr>
              <w:t>1</w:t>
            </w:r>
          </w:p>
        </w:tc>
      </w:tr>
      <w:tr w:rsidR="00EE1BBA" w:rsidRPr="00EE1BBA" w:rsidTr="00AB4BF7">
        <w:trPr>
          <w:jc w:val="center"/>
        </w:trPr>
        <w:tc>
          <w:tcPr>
            <w:tcW w:w="1368" w:type="dxa"/>
          </w:tcPr>
          <w:p w:rsidR="00EE1BBA" w:rsidRPr="00EE1BBA" w:rsidRDefault="00EE1BBA" w:rsidP="00EE1BBA">
            <w:pPr>
              <w:spacing w:line="276" w:lineRule="auto"/>
              <w:rPr>
                <w:b/>
              </w:rPr>
            </w:pPr>
            <w:r w:rsidRPr="00EE1BBA">
              <w:rPr>
                <w:b/>
              </w:rPr>
              <w:t>Total</w:t>
            </w:r>
          </w:p>
        </w:tc>
        <w:tc>
          <w:tcPr>
            <w:tcW w:w="1980" w:type="dxa"/>
          </w:tcPr>
          <w:p w:rsidR="00EE1BBA" w:rsidRPr="00EE1BBA" w:rsidRDefault="00EE1BBA" w:rsidP="00EE1BBA">
            <w:pPr>
              <w:spacing w:line="276" w:lineRule="auto"/>
              <w:rPr>
                <w:b/>
              </w:rPr>
            </w:pPr>
            <w:r>
              <w:rPr>
                <w:b/>
              </w:rPr>
              <w:t>R</w:t>
            </w:r>
          </w:p>
        </w:tc>
        <w:tc>
          <w:tcPr>
            <w:tcW w:w="2880" w:type="dxa"/>
          </w:tcPr>
          <w:p w:rsidR="00EE1BBA" w:rsidRPr="00EE1BBA" w:rsidRDefault="00EE1BBA" w:rsidP="00EE1BBA">
            <w:pPr>
              <w:spacing w:line="276" w:lineRule="auto"/>
              <w:rPr>
                <w:b/>
              </w:rPr>
            </w:pPr>
            <w:r>
              <w:rPr>
                <w:b/>
              </w:rPr>
              <w:t>W</w:t>
            </w:r>
          </w:p>
        </w:tc>
        <w:tc>
          <w:tcPr>
            <w:tcW w:w="900" w:type="dxa"/>
          </w:tcPr>
          <w:p w:rsidR="00EE1BBA" w:rsidRPr="00EE1BBA" w:rsidRDefault="00EE1BBA" w:rsidP="00EE1BBA">
            <w:pPr>
              <w:spacing w:line="276" w:lineRule="auto"/>
              <w:rPr>
                <w:b/>
              </w:rPr>
            </w:pPr>
            <w:r w:rsidRPr="00EE1BBA">
              <w:rPr>
                <w:b/>
              </w:rPr>
              <w:t>m</w:t>
            </w:r>
          </w:p>
        </w:tc>
      </w:tr>
    </w:tbl>
    <w:p w:rsidR="00EE1BBA" w:rsidRDefault="00EE1BBA" w:rsidP="00EE1BBA">
      <w:pPr>
        <w:spacing w:after="0"/>
      </w:pPr>
    </w:p>
    <w:p w:rsidR="00981658" w:rsidRDefault="00981658" w:rsidP="00981658">
      <w:pPr>
        <w:spacing w:after="0"/>
      </w:pPr>
    </w:p>
    <w:sectPr w:rsidR="00981658" w:rsidSect="005650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C3D"/>
    <w:multiLevelType w:val="hybridMultilevel"/>
    <w:tmpl w:val="A93ABE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506E6"/>
    <w:multiLevelType w:val="hybridMultilevel"/>
    <w:tmpl w:val="F782CD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411E7"/>
    <w:multiLevelType w:val="hybridMultilevel"/>
    <w:tmpl w:val="7C707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D35D3"/>
    <w:multiLevelType w:val="hybridMultilevel"/>
    <w:tmpl w:val="07AA83EE"/>
    <w:lvl w:ilvl="0" w:tplc="F7C4CC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2F3AF9"/>
    <w:multiLevelType w:val="hybridMultilevel"/>
    <w:tmpl w:val="FE4EBF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92D5F"/>
    <w:multiLevelType w:val="hybridMultilevel"/>
    <w:tmpl w:val="92F2E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976DF"/>
    <w:multiLevelType w:val="hybridMultilevel"/>
    <w:tmpl w:val="D50E2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34D03"/>
    <w:multiLevelType w:val="hybridMultilevel"/>
    <w:tmpl w:val="E7B49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17F71"/>
    <w:multiLevelType w:val="multilevel"/>
    <w:tmpl w:val="3FFAD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479D4"/>
    <w:multiLevelType w:val="hybridMultilevel"/>
    <w:tmpl w:val="89285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C15DEB"/>
    <w:multiLevelType w:val="hybridMultilevel"/>
    <w:tmpl w:val="E54672BA"/>
    <w:lvl w:ilvl="0" w:tplc="79669AD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0A478B"/>
    <w:multiLevelType w:val="hybridMultilevel"/>
    <w:tmpl w:val="9D30D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D0F10"/>
    <w:multiLevelType w:val="hybridMultilevel"/>
    <w:tmpl w:val="6172D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3326F"/>
    <w:multiLevelType w:val="hybridMultilevel"/>
    <w:tmpl w:val="6528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411EE"/>
    <w:multiLevelType w:val="multilevel"/>
    <w:tmpl w:val="06E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21DFA"/>
    <w:multiLevelType w:val="hybridMultilevel"/>
    <w:tmpl w:val="FBE8A4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7F56D6"/>
    <w:multiLevelType w:val="multilevel"/>
    <w:tmpl w:val="327A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0CCB"/>
    <w:multiLevelType w:val="hybridMultilevel"/>
    <w:tmpl w:val="D0DE90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F2C2D"/>
    <w:multiLevelType w:val="hybridMultilevel"/>
    <w:tmpl w:val="4434ED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4B65C8"/>
    <w:multiLevelType w:val="hybridMultilevel"/>
    <w:tmpl w:val="563A71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BC3AC8"/>
    <w:multiLevelType w:val="hybridMultilevel"/>
    <w:tmpl w:val="BB58B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076B17"/>
    <w:multiLevelType w:val="hybridMultilevel"/>
    <w:tmpl w:val="226619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AE34EE"/>
    <w:multiLevelType w:val="hybridMultilevel"/>
    <w:tmpl w:val="653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5C1940"/>
    <w:multiLevelType w:val="multilevel"/>
    <w:tmpl w:val="9544C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91DE1"/>
    <w:multiLevelType w:val="hybridMultilevel"/>
    <w:tmpl w:val="DCCAD894"/>
    <w:lvl w:ilvl="0" w:tplc="2B1E6E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56A1600"/>
    <w:multiLevelType w:val="hybridMultilevel"/>
    <w:tmpl w:val="3628F5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CF34F6"/>
    <w:multiLevelType w:val="multilevel"/>
    <w:tmpl w:val="16D2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C24F8"/>
    <w:multiLevelType w:val="hybridMultilevel"/>
    <w:tmpl w:val="4D924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030780"/>
    <w:multiLevelType w:val="hybridMultilevel"/>
    <w:tmpl w:val="7682C5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3D3D7B"/>
    <w:multiLevelType w:val="hybridMultilevel"/>
    <w:tmpl w:val="B5C03F5A"/>
    <w:lvl w:ilvl="0" w:tplc="F338759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1B005C"/>
    <w:multiLevelType w:val="hybridMultilevel"/>
    <w:tmpl w:val="9988A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867FE1"/>
    <w:multiLevelType w:val="multilevel"/>
    <w:tmpl w:val="53F2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C4DD5"/>
    <w:multiLevelType w:val="hybridMultilevel"/>
    <w:tmpl w:val="EDA09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F41AE3"/>
    <w:multiLevelType w:val="hybridMultilevel"/>
    <w:tmpl w:val="569AA38C"/>
    <w:lvl w:ilvl="0" w:tplc="D7CE7FB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B91273"/>
    <w:multiLevelType w:val="hybridMultilevel"/>
    <w:tmpl w:val="70E0C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C55467"/>
    <w:multiLevelType w:val="hybridMultilevel"/>
    <w:tmpl w:val="17EC1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BC51A5"/>
    <w:multiLevelType w:val="hybridMultilevel"/>
    <w:tmpl w:val="F0B29EA4"/>
    <w:lvl w:ilvl="0" w:tplc="D88E3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C681D16"/>
    <w:multiLevelType w:val="hybridMultilevel"/>
    <w:tmpl w:val="CAB6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814FEA"/>
    <w:multiLevelType w:val="hybridMultilevel"/>
    <w:tmpl w:val="FC260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BC5A56"/>
    <w:multiLevelType w:val="hybridMultilevel"/>
    <w:tmpl w:val="076A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924C45"/>
    <w:multiLevelType w:val="hybridMultilevel"/>
    <w:tmpl w:val="C5D0740E"/>
    <w:lvl w:ilvl="0" w:tplc="5F3E4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4604889"/>
    <w:multiLevelType w:val="hybridMultilevel"/>
    <w:tmpl w:val="422CE19E"/>
    <w:lvl w:ilvl="0" w:tplc="01BCF1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78569F0"/>
    <w:multiLevelType w:val="hybridMultilevel"/>
    <w:tmpl w:val="76CE26A4"/>
    <w:lvl w:ilvl="0" w:tplc="DA00F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8703E3C"/>
    <w:multiLevelType w:val="hybridMultilevel"/>
    <w:tmpl w:val="35DA54D6"/>
    <w:lvl w:ilvl="0" w:tplc="C2D4F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9EF1544"/>
    <w:multiLevelType w:val="hybridMultilevel"/>
    <w:tmpl w:val="ED6A9C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387FBA"/>
    <w:multiLevelType w:val="hybridMultilevel"/>
    <w:tmpl w:val="844499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470D20"/>
    <w:multiLevelType w:val="hybridMultilevel"/>
    <w:tmpl w:val="6F6C26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B07E82"/>
    <w:multiLevelType w:val="hybridMultilevel"/>
    <w:tmpl w:val="3C469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B11493"/>
    <w:multiLevelType w:val="hybridMultilevel"/>
    <w:tmpl w:val="38E06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AE64B5"/>
    <w:multiLevelType w:val="hybridMultilevel"/>
    <w:tmpl w:val="71AE90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015065"/>
    <w:multiLevelType w:val="hybridMultilevel"/>
    <w:tmpl w:val="EFBCA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3376A6"/>
    <w:multiLevelType w:val="hybridMultilevel"/>
    <w:tmpl w:val="0DD03522"/>
    <w:lvl w:ilvl="0" w:tplc="257459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85740CC"/>
    <w:multiLevelType w:val="hybridMultilevel"/>
    <w:tmpl w:val="E1E0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167A0C"/>
    <w:multiLevelType w:val="hybridMultilevel"/>
    <w:tmpl w:val="62BE6F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A30C35"/>
    <w:multiLevelType w:val="hybridMultilevel"/>
    <w:tmpl w:val="6D90A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595395"/>
    <w:multiLevelType w:val="hybridMultilevel"/>
    <w:tmpl w:val="FA843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2B3976"/>
    <w:multiLevelType w:val="hybridMultilevel"/>
    <w:tmpl w:val="FE6E6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3D286C"/>
    <w:multiLevelType w:val="multilevel"/>
    <w:tmpl w:val="C71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2458D9"/>
    <w:multiLevelType w:val="hybridMultilevel"/>
    <w:tmpl w:val="415AA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AA2EAD"/>
    <w:multiLevelType w:val="multilevel"/>
    <w:tmpl w:val="9D74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FC6F62"/>
    <w:multiLevelType w:val="hybridMultilevel"/>
    <w:tmpl w:val="49886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937FE3"/>
    <w:multiLevelType w:val="hybridMultilevel"/>
    <w:tmpl w:val="B614B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EE1C7A"/>
    <w:multiLevelType w:val="hybridMultilevel"/>
    <w:tmpl w:val="CA9653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741C60"/>
    <w:multiLevelType w:val="hybridMultilevel"/>
    <w:tmpl w:val="C0E6D678"/>
    <w:lvl w:ilvl="0" w:tplc="837C8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8B66AB4"/>
    <w:multiLevelType w:val="multilevel"/>
    <w:tmpl w:val="6E726712"/>
    <w:lvl w:ilvl="0">
      <w:start w:val="18"/>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A4D5444"/>
    <w:multiLevelType w:val="hybridMultilevel"/>
    <w:tmpl w:val="4C6A0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253B25"/>
    <w:multiLevelType w:val="hybridMultilevel"/>
    <w:tmpl w:val="CA188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325A03"/>
    <w:multiLevelType w:val="hybridMultilevel"/>
    <w:tmpl w:val="6EBEF9DA"/>
    <w:lvl w:ilvl="0" w:tplc="CAD25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1535F9E"/>
    <w:multiLevelType w:val="hybridMultilevel"/>
    <w:tmpl w:val="C646E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C83C2D"/>
    <w:multiLevelType w:val="hybridMultilevel"/>
    <w:tmpl w:val="F3221A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780622"/>
    <w:multiLevelType w:val="hybridMultilevel"/>
    <w:tmpl w:val="71F4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A24476"/>
    <w:multiLevelType w:val="hybridMultilevel"/>
    <w:tmpl w:val="66485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162212"/>
    <w:multiLevelType w:val="hybridMultilevel"/>
    <w:tmpl w:val="8DEE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3"/>
  </w:num>
  <w:num w:numId="3">
    <w:abstractNumId w:val="24"/>
  </w:num>
  <w:num w:numId="4">
    <w:abstractNumId w:val="41"/>
  </w:num>
  <w:num w:numId="5">
    <w:abstractNumId w:val="63"/>
  </w:num>
  <w:num w:numId="6">
    <w:abstractNumId w:val="29"/>
  </w:num>
  <w:num w:numId="7">
    <w:abstractNumId w:val="27"/>
  </w:num>
  <w:num w:numId="8">
    <w:abstractNumId w:val="47"/>
  </w:num>
  <w:num w:numId="9">
    <w:abstractNumId w:val="11"/>
  </w:num>
  <w:num w:numId="10">
    <w:abstractNumId w:val="65"/>
  </w:num>
  <w:num w:numId="11">
    <w:abstractNumId w:val="33"/>
  </w:num>
  <w:num w:numId="12">
    <w:abstractNumId w:val="42"/>
  </w:num>
  <w:num w:numId="13">
    <w:abstractNumId w:val="61"/>
  </w:num>
  <w:num w:numId="14">
    <w:abstractNumId w:val="70"/>
  </w:num>
  <w:num w:numId="15">
    <w:abstractNumId w:val="45"/>
  </w:num>
  <w:num w:numId="16">
    <w:abstractNumId w:val="21"/>
  </w:num>
  <w:num w:numId="17">
    <w:abstractNumId w:val="60"/>
  </w:num>
  <w:num w:numId="18">
    <w:abstractNumId w:val="39"/>
  </w:num>
  <w:num w:numId="19">
    <w:abstractNumId w:val="46"/>
  </w:num>
  <w:num w:numId="20">
    <w:abstractNumId w:val="22"/>
  </w:num>
  <w:num w:numId="21">
    <w:abstractNumId w:val="36"/>
  </w:num>
  <w:num w:numId="22">
    <w:abstractNumId w:val="13"/>
  </w:num>
  <w:num w:numId="23">
    <w:abstractNumId w:val="37"/>
  </w:num>
  <w:num w:numId="24">
    <w:abstractNumId w:val="48"/>
  </w:num>
  <w:num w:numId="25">
    <w:abstractNumId w:val="5"/>
  </w:num>
  <w:num w:numId="26">
    <w:abstractNumId w:val="1"/>
  </w:num>
  <w:num w:numId="27">
    <w:abstractNumId w:val="40"/>
  </w:num>
  <w:num w:numId="28">
    <w:abstractNumId w:val="10"/>
  </w:num>
  <w:num w:numId="29">
    <w:abstractNumId w:val="32"/>
  </w:num>
  <w:num w:numId="30">
    <w:abstractNumId w:val="51"/>
  </w:num>
  <w:num w:numId="31">
    <w:abstractNumId w:val="4"/>
  </w:num>
  <w:num w:numId="32">
    <w:abstractNumId w:val="35"/>
  </w:num>
  <w:num w:numId="33">
    <w:abstractNumId w:val="25"/>
  </w:num>
  <w:num w:numId="34">
    <w:abstractNumId w:val="19"/>
  </w:num>
  <w:num w:numId="35">
    <w:abstractNumId w:val="52"/>
  </w:num>
  <w:num w:numId="36">
    <w:abstractNumId w:val="58"/>
  </w:num>
  <w:num w:numId="37">
    <w:abstractNumId w:val="55"/>
  </w:num>
  <w:num w:numId="38">
    <w:abstractNumId w:val="56"/>
  </w:num>
  <w:num w:numId="39">
    <w:abstractNumId w:val="34"/>
  </w:num>
  <w:num w:numId="40">
    <w:abstractNumId w:val="38"/>
  </w:num>
  <w:num w:numId="41">
    <w:abstractNumId w:val="62"/>
  </w:num>
  <w:num w:numId="42">
    <w:abstractNumId w:val="72"/>
  </w:num>
  <w:num w:numId="43">
    <w:abstractNumId w:val="0"/>
  </w:num>
  <w:num w:numId="44">
    <w:abstractNumId w:val="49"/>
  </w:num>
  <w:num w:numId="45">
    <w:abstractNumId w:val="7"/>
  </w:num>
  <w:num w:numId="46">
    <w:abstractNumId w:val="64"/>
  </w:num>
  <w:num w:numId="47">
    <w:abstractNumId w:val="6"/>
  </w:num>
  <w:num w:numId="48">
    <w:abstractNumId w:val="71"/>
  </w:num>
  <w:num w:numId="49">
    <w:abstractNumId w:val="20"/>
  </w:num>
  <w:num w:numId="50">
    <w:abstractNumId w:val="54"/>
  </w:num>
  <w:num w:numId="51">
    <w:abstractNumId w:val="50"/>
  </w:num>
  <w:num w:numId="52">
    <w:abstractNumId w:val="28"/>
  </w:num>
  <w:num w:numId="53">
    <w:abstractNumId w:val="2"/>
  </w:num>
  <w:num w:numId="54">
    <w:abstractNumId w:val="12"/>
  </w:num>
  <w:num w:numId="55">
    <w:abstractNumId w:val="44"/>
  </w:num>
  <w:num w:numId="56">
    <w:abstractNumId w:val="9"/>
  </w:num>
  <w:num w:numId="57">
    <w:abstractNumId w:val="66"/>
  </w:num>
  <w:num w:numId="58">
    <w:abstractNumId w:val="17"/>
  </w:num>
  <w:num w:numId="59">
    <w:abstractNumId w:val="15"/>
  </w:num>
  <w:num w:numId="60">
    <w:abstractNumId w:val="67"/>
  </w:num>
  <w:num w:numId="61">
    <w:abstractNumId w:val="57"/>
  </w:num>
  <w:num w:numId="62">
    <w:abstractNumId w:val="68"/>
  </w:num>
  <w:num w:numId="63">
    <w:abstractNumId w:val="14"/>
  </w:num>
  <w:num w:numId="64">
    <w:abstractNumId w:val="18"/>
  </w:num>
  <w:num w:numId="65">
    <w:abstractNumId w:val="26"/>
  </w:num>
  <w:num w:numId="66">
    <w:abstractNumId w:val="8"/>
  </w:num>
  <w:num w:numId="67">
    <w:abstractNumId w:val="16"/>
  </w:num>
  <w:num w:numId="68">
    <w:abstractNumId w:val="30"/>
  </w:num>
  <w:num w:numId="69">
    <w:abstractNumId w:val="69"/>
  </w:num>
  <w:num w:numId="70">
    <w:abstractNumId w:val="23"/>
  </w:num>
  <w:num w:numId="71">
    <w:abstractNumId w:val="53"/>
  </w:num>
  <w:num w:numId="72">
    <w:abstractNumId w:val="59"/>
  </w:num>
  <w:num w:numId="73">
    <w:abstractNumId w:val="3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D4"/>
    <w:rsid w:val="00001231"/>
    <w:rsid w:val="000039EB"/>
    <w:rsid w:val="00004315"/>
    <w:rsid w:val="00005B34"/>
    <w:rsid w:val="00005FAD"/>
    <w:rsid w:val="00006F18"/>
    <w:rsid w:val="00010A20"/>
    <w:rsid w:val="000114BC"/>
    <w:rsid w:val="00011804"/>
    <w:rsid w:val="000131F6"/>
    <w:rsid w:val="00015975"/>
    <w:rsid w:val="00016329"/>
    <w:rsid w:val="000165FA"/>
    <w:rsid w:val="00016D6A"/>
    <w:rsid w:val="00017C72"/>
    <w:rsid w:val="00020660"/>
    <w:rsid w:val="000206D2"/>
    <w:rsid w:val="0002092A"/>
    <w:rsid w:val="0002114E"/>
    <w:rsid w:val="000218AB"/>
    <w:rsid w:val="00021E7F"/>
    <w:rsid w:val="0002318E"/>
    <w:rsid w:val="00025A6B"/>
    <w:rsid w:val="00025DD7"/>
    <w:rsid w:val="0003099C"/>
    <w:rsid w:val="00033A0F"/>
    <w:rsid w:val="00035F7D"/>
    <w:rsid w:val="00040C7D"/>
    <w:rsid w:val="00041971"/>
    <w:rsid w:val="00044AD2"/>
    <w:rsid w:val="00044CB8"/>
    <w:rsid w:val="0005104B"/>
    <w:rsid w:val="00055307"/>
    <w:rsid w:val="00057016"/>
    <w:rsid w:val="00061464"/>
    <w:rsid w:val="00063B9E"/>
    <w:rsid w:val="00063D55"/>
    <w:rsid w:val="000647A6"/>
    <w:rsid w:val="000672C7"/>
    <w:rsid w:val="000729C8"/>
    <w:rsid w:val="00073B7C"/>
    <w:rsid w:val="000746F0"/>
    <w:rsid w:val="00074A81"/>
    <w:rsid w:val="00074D60"/>
    <w:rsid w:val="000757E9"/>
    <w:rsid w:val="000758FB"/>
    <w:rsid w:val="00083018"/>
    <w:rsid w:val="00083678"/>
    <w:rsid w:val="00083DEC"/>
    <w:rsid w:val="00086AC9"/>
    <w:rsid w:val="0008763D"/>
    <w:rsid w:val="000917B9"/>
    <w:rsid w:val="00095433"/>
    <w:rsid w:val="000960F4"/>
    <w:rsid w:val="00097DD0"/>
    <w:rsid w:val="000A0051"/>
    <w:rsid w:val="000A16F5"/>
    <w:rsid w:val="000A1821"/>
    <w:rsid w:val="000A3615"/>
    <w:rsid w:val="000A448E"/>
    <w:rsid w:val="000B4159"/>
    <w:rsid w:val="000B5ED3"/>
    <w:rsid w:val="000B65BC"/>
    <w:rsid w:val="000B782A"/>
    <w:rsid w:val="000C00B0"/>
    <w:rsid w:val="000C1144"/>
    <w:rsid w:val="000C1718"/>
    <w:rsid w:val="000C2B97"/>
    <w:rsid w:val="000C4E87"/>
    <w:rsid w:val="000D04A3"/>
    <w:rsid w:val="000D0AA8"/>
    <w:rsid w:val="000D1108"/>
    <w:rsid w:val="000D279A"/>
    <w:rsid w:val="000D3B9C"/>
    <w:rsid w:val="000D53D4"/>
    <w:rsid w:val="000D59C8"/>
    <w:rsid w:val="000D6F7E"/>
    <w:rsid w:val="000E0692"/>
    <w:rsid w:val="000E4478"/>
    <w:rsid w:val="000E48B9"/>
    <w:rsid w:val="000E64AC"/>
    <w:rsid w:val="000F03EA"/>
    <w:rsid w:val="000F1506"/>
    <w:rsid w:val="000F3623"/>
    <w:rsid w:val="000F3B45"/>
    <w:rsid w:val="000F6E93"/>
    <w:rsid w:val="00100147"/>
    <w:rsid w:val="00106362"/>
    <w:rsid w:val="00106812"/>
    <w:rsid w:val="0010722C"/>
    <w:rsid w:val="00107D7B"/>
    <w:rsid w:val="001118B7"/>
    <w:rsid w:val="00111E93"/>
    <w:rsid w:val="00113466"/>
    <w:rsid w:val="00113EAB"/>
    <w:rsid w:val="00114C9E"/>
    <w:rsid w:val="00116EDF"/>
    <w:rsid w:val="00117054"/>
    <w:rsid w:val="00120230"/>
    <w:rsid w:val="00120685"/>
    <w:rsid w:val="00121AC7"/>
    <w:rsid w:val="001318C7"/>
    <w:rsid w:val="001319B6"/>
    <w:rsid w:val="001367E8"/>
    <w:rsid w:val="001377E0"/>
    <w:rsid w:val="00140093"/>
    <w:rsid w:val="00143A65"/>
    <w:rsid w:val="0014485F"/>
    <w:rsid w:val="001459C6"/>
    <w:rsid w:val="00145A42"/>
    <w:rsid w:val="00150FB3"/>
    <w:rsid w:val="00151163"/>
    <w:rsid w:val="00156B10"/>
    <w:rsid w:val="001570A9"/>
    <w:rsid w:val="00161234"/>
    <w:rsid w:val="00161FD1"/>
    <w:rsid w:val="00162596"/>
    <w:rsid w:val="00162A05"/>
    <w:rsid w:val="001641C1"/>
    <w:rsid w:val="0016433C"/>
    <w:rsid w:val="00165584"/>
    <w:rsid w:val="001657F4"/>
    <w:rsid w:val="00166BD3"/>
    <w:rsid w:val="00167D48"/>
    <w:rsid w:val="00167F0D"/>
    <w:rsid w:val="00170FE0"/>
    <w:rsid w:val="00171531"/>
    <w:rsid w:val="00171845"/>
    <w:rsid w:val="001760C3"/>
    <w:rsid w:val="00176CBA"/>
    <w:rsid w:val="001820FB"/>
    <w:rsid w:val="00183110"/>
    <w:rsid w:val="001837B5"/>
    <w:rsid w:val="00183E3A"/>
    <w:rsid w:val="00185097"/>
    <w:rsid w:val="0018635F"/>
    <w:rsid w:val="00186A9D"/>
    <w:rsid w:val="001964BE"/>
    <w:rsid w:val="00197248"/>
    <w:rsid w:val="001A021A"/>
    <w:rsid w:val="001A3AC3"/>
    <w:rsid w:val="001A44A1"/>
    <w:rsid w:val="001A5A19"/>
    <w:rsid w:val="001A6BFB"/>
    <w:rsid w:val="001B1968"/>
    <w:rsid w:val="001B3ABA"/>
    <w:rsid w:val="001B6722"/>
    <w:rsid w:val="001B6E0F"/>
    <w:rsid w:val="001C04CE"/>
    <w:rsid w:val="001C052E"/>
    <w:rsid w:val="001C223A"/>
    <w:rsid w:val="001C24B1"/>
    <w:rsid w:val="001C25F0"/>
    <w:rsid w:val="001C564E"/>
    <w:rsid w:val="001D10C6"/>
    <w:rsid w:val="001D144D"/>
    <w:rsid w:val="001D2966"/>
    <w:rsid w:val="001D3266"/>
    <w:rsid w:val="001D4874"/>
    <w:rsid w:val="001D5956"/>
    <w:rsid w:val="001D5E95"/>
    <w:rsid w:val="001D615D"/>
    <w:rsid w:val="001E14BC"/>
    <w:rsid w:val="001E2E4A"/>
    <w:rsid w:val="001E3D82"/>
    <w:rsid w:val="001E736A"/>
    <w:rsid w:val="001F26CE"/>
    <w:rsid w:val="001F738B"/>
    <w:rsid w:val="0020072F"/>
    <w:rsid w:val="0020333E"/>
    <w:rsid w:val="00204DEA"/>
    <w:rsid w:val="002060CF"/>
    <w:rsid w:val="0020745F"/>
    <w:rsid w:val="00212FC8"/>
    <w:rsid w:val="002155B0"/>
    <w:rsid w:val="0021745C"/>
    <w:rsid w:val="00217620"/>
    <w:rsid w:val="00217F90"/>
    <w:rsid w:val="00225384"/>
    <w:rsid w:val="00227B02"/>
    <w:rsid w:val="002300B8"/>
    <w:rsid w:val="00231673"/>
    <w:rsid w:val="00231A1F"/>
    <w:rsid w:val="00232BE2"/>
    <w:rsid w:val="00235852"/>
    <w:rsid w:val="00236825"/>
    <w:rsid w:val="0023745E"/>
    <w:rsid w:val="00243A5E"/>
    <w:rsid w:val="00244976"/>
    <w:rsid w:val="00245B4D"/>
    <w:rsid w:val="00251F58"/>
    <w:rsid w:val="002522FB"/>
    <w:rsid w:val="00252DB3"/>
    <w:rsid w:val="00253C81"/>
    <w:rsid w:val="00256D0B"/>
    <w:rsid w:val="00257539"/>
    <w:rsid w:val="00262A20"/>
    <w:rsid w:val="00262B43"/>
    <w:rsid w:val="00263F0E"/>
    <w:rsid w:val="002648D8"/>
    <w:rsid w:val="00265126"/>
    <w:rsid w:val="00265BAD"/>
    <w:rsid w:val="00266ED6"/>
    <w:rsid w:val="002715DF"/>
    <w:rsid w:val="00271DE9"/>
    <w:rsid w:val="00274532"/>
    <w:rsid w:val="002748A1"/>
    <w:rsid w:val="00274979"/>
    <w:rsid w:val="00276687"/>
    <w:rsid w:val="00277B17"/>
    <w:rsid w:val="002817BE"/>
    <w:rsid w:val="00281D1A"/>
    <w:rsid w:val="00282547"/>
    <w:rsid w:val="002846FA"/>
    <w:rsid w:val="0028609E"/>
    <w:rsid w:val="002863C4"/>
    <w:rsid w:val="0029001E"/>
    <w:rsid w:val="002931D9"/>
    <w:rsid w:val="002A00A9"/>
    <w:rsid w:val="002A03E9"/>
    <w:rsid w:val="002A278D"/>
    <w:rsid w:val="002A655B"/>
    <w:rsid w:val="002A738B"/>
    <w:rsid w:val="002A7EFB"/>
    <w:rsid w:val="002B1BB2"/>
    <w:rsid w:val="002B22A8"/>
    <w:rsid w:val="002B3076"/>
    <w:rsid w:val="002B5B7F"/>
    <w:rsid w:val="002B5EB7"/>
    <w:rsid w:val="002B63D0"/>
    <w:rsid w:val="002B7436"/>
    <w:rsid w:val="002C01A5"/>
    <w:rsid w:val="002C0485"/>
    <w:rsid w:val="002C20BB"/>
    <w:rsid w:val="002C337A"/>
    <w:rsid w:val="002C4222"/>
    <w:rsid w:val="002C57D3"/>
    <w:rsid w:val="002D0A92"/>
    <w:rsid w:val="002D1F6A"/>
    <w:rsid w:val="002D48D1"/>
    <w:rsid w:val="002D6745"/>
    <w:rsid w:val="002E132F"/>
    <w:rsid w:val="002E1660"/>
    <w:rsid w:val="002E2A97"/>
    <w:rsid w:val="002F4A79"/>
    <w:rsid w:val="002F4C43"/>
    <w:rsid w:val="002F5855"/>
    <w:rsid w:val="002F5F9D"/>
    <w:rsid w:val="0030538A"/>
    <w:rsid w:val="00305651"/>
    <w:rsid w:val="003113CA"/>
    <w:rsid w:val="003125D6"/>
    <w:rsid w:val="00313444"/>
    <w:rsid w:val="003143D1"/>
    <w:rsid w:val="003167E4"/>
    <w:rsid w:val="00320F77"/>
    <w:rsid w:val="003238B4"/>
    <w:rsid w:val="0032636B"/>
    <w:rsid w:val="003301F5"/>
    <w:rsid w:val="0033129F"/>
    <w:rsid w:val="003320F8"/>
    <w:rsid w:val="003323F9"/>
    <w:rsid w:val="0033695F"/>
    <w:rsid w:val="00337564"/>
    <w:rsid w:val="00337978"/>
    <w:rsid w:val="00341296"/>
    <w:rsid w:val="003424BE"/>
    <w:rsid w:val="00344E95"/>
    <w:rsid w:val="0034571A"/>
    <w:rsid w:val="0034620F"/>
    <w:rsid w:val="00346B65"/>
    <w:rsid w:val="00356498"/>
    <w:rsid w:val="00357113"/>
    <w:rsid w:val="00357371"/>
    <w:rsid w:val="0036093E"/>
    <w:rsid w:val="003619B4"/>
    <w:rsid w:val="00362D68"/>
    <w:rsid w:val="0036571C"/>
    <w:rsid w:val="003662FE"/>
    <w:rsid w:val="00370351"/>
    <w:rsid w:val="003718CF"/>
    <w:rsid w:val="003724CD"/>
    <w:rsid w:val="00375275"/>
    <w:rsid w:val="00377720"/>
    <w:rsid w:val="0038038E"/>
    <w:rsid w:val="0038426F"/>
    <w:rsid w:val="00391114"/>
    <w:rsid w:val="00391A6E"/>
    <w:rsid w:val="00392A9F"/>
    <w:rsid w:val="00393366"/>
    <w:rsid w:val="00393434"/>
    <w:rsid w:val="003941BE"/>
    <w:rsid w:val="003A1C42"/>
    <w:rsid w:val="003A2C53"/>
    <w:rsid w:val="003A59CE"/>
    <w:rsid w:val="003A5FE5"/>
    <w:rsid w:val="003A623B"/>
    <w:rsid w:val="003A7706"/>
    <w:rsid w:val="003B23F6"/>
    <w:rsid w:val="003B3AAA"/>
    <w:rsid w:val="003B6401"/>
    <w:rsid w:val="003B6F9A"/>
    <w:rsid w:val="003B7B26"/>
    <w:rsid w:val="003C2487"/>
    <w:rsid w:val="003C3D6C"/>
    <w:rsid w:val="003C5CEF"/>
    <w:rsid w:val="003C6925"/>
    <w:rsid w:val="003D0C54"/>
    <w:rsid w:val="003D1571"/>
    <w:rsid w:val="003D19B5"/>
    <w:rsid w:val="003D34E4"/>
    <w:rsid w:val="003D4F7B"/>
    <w:rsid w:val="003D65F2"/>
    <w:rsid w:val="003E5845"/>
    <w:rsid w:val="003E7CDF"/>
    <w:rsid w:val="003F0354"/>
    <w:rsid w:val="003F07A5"/>
    <w:rsid w:val="003F2EB4"/>
    <w:rsid w:val="003F4004"/>
    <w:rsid w:val="003F427E"/>
    <w:rsid w:val="003F4FC8"/>
    <w:rsid w:val="003F751C"/>
    <w:rsid w:val="00400F28"/>
    <w:rsid w:val="004035A6"/>
    <w:rsid w:val="00404C55"/>
    <w:rsid w:val="00407612"/>
    <w:rsid w:val="00410417"/>
    <w:rsid w:val="00412284"/>
    <w:rsid w:val="004155BC"/>
    <w:rsid w:val="00426722"/>
    <w:rsid w:val="00427F27"/>
    <w:rsid w:val="0043265F"/>
    <w:rsid w:val="00433E3C"/>
    <w:rsid w:val="00435A14"/>
    <w:rsid w:val="004407E4"/>
    <w:rsid w:val="00442677"/>
    <w:rsid w:val="00445B97"/>
    <w:rsid w:val="004509E5"/>
    <w:rsid w:val="004559C8"/>
    <w:rsid w:val="004564C7"/>
    <w:rsid w:val="00457BEA"/>
    <w:rsid w:val="004621E2"/>
    <w:rsid w:val="00465790"/>
    <w:rsid w:val="00465A22"/>
    <w:rsid w:val="00466E7C"/>
    <w:rsid w:val="0046785D"/>
    <w:rsid w:val="00470C2E"/>
    <w:rsid w:val="00470EC4"/>
    <w:rsid w:val="00471CD2"/>
    <w:rsid w:val="0047256D"/>
    <w:rsid w:val="00473E0A"/>
    <w:rsid w:val="00475690"/>
    <w:rsid w:val="00475F25"/>
    <w:rsid w:val="004803AB"/>
    <w:rsid w:val="00480B47"/>
    <w:rsid w:val="00483D65"/>
    <w:rsid w:val="0048509F"/>
    <w:rsid w:val="00490F84"/>
    <w:rsid w:val="00492CEE"/>
    <w:rsid w:val="00495465"/>
    <w:rsid w:val="00495D72"/>
    <w:rsid w:val="00497C24"/>
    <w:rsid w:val="004A0362"/>
    <w:rsid w:val="004A127E"/>
    <w:rsid w:val="004A23A9"/>
    <w:rsid w:val="004A2780"/>
    <w:rsid w:val="004A4749"/>
    <w:rsid w:val="004A71E4"/>
    <w:rsid w:val="004B0F0D"/>
    <w:rsid w:val="004B1434"/>
    <w:rsid w:val="004B2FA3"/>
    <w:rsid w:val="004B4B07"/>
    <w:rsid w:val="004B50B9"/>
    <w:rsid w:val="004B637D"/>
    <w:rsid w:val="004B79F8"/>
    <w:rsid w:val="004B7F4B"/>
    <w:rsid w:val="004C018B"/>
    <w:rsid w:val="004C6471"/>
    <w:rsid w:val="004D1583"/>
    <w:rsid w:val="004E011B"/>
    <w:rsid w:val="004E0875"/>
    <w:rsid w:val="004E0E28"/>
    <w:rsid w:val="004E26C4"/>
    <w:rsid w:val="004E4BE1"/>
    <w:rsid w:val="004E4C08"/>
    <w:rsid w:val="004E70E0"/>
    <w:rsid w:val="004F0610"/>
    <w:rsid w:val="004F2AB3"/>
    <w:rsid w:val="004F2E70"/>
    <w:rsid w:val="004F474C"/>
    <w:rsid w:val="005000D8"/>
    <w:rsid w:val="0050070F"/>
    <w:rsid w:val="00500C25"/>
    <w:rsid w:val="0050783B"/>
    <w:rsid w:val="00511B9E"/>
    <w:rsid w:val="00512536"/>
    <w:rsid w:val="005160EE"/>
    <w:rsid w:val="005177C7"/>
    <w:rsid w:val="00523AFC"/>
    <w:rsid w:val="00524ACB"/>
    <w:rsid w:val="0052523C"/>
    <w:rsid w:val="00525D92"/>
    <w:rsid w:val="00530927"/>
    <w:rsid w:val="00532119"/>
    <w:rsid w:val="005323D4"/>
    <w:rsid w:val="00534130"/>
    <w:rsid w:val="00534364"/>
    <w:rsid w:val="00535182"/>
    <w:rsid w:val="005363A4"/>
    <w:rsid w:val="00540EA6"/>
    <w:rsid w:val="0054461C"/>
    <w:rsid w:val="00544E2F"/>
    <w:rsid w:val="00547882"/>
    <w:rsid w:val="00550044"/>
    <w:rsid w:val="00554587"/>
    <w:rsid w:val="00555045"/>
    <w:rsid w:val="005575DB"/>
    <w:rsid w:val="00557B58"/>
    <w:rsid w:val="005617CB"/>
    <w:rsid w:val="00562280"/>
    <w:rsid w:val="00565044"/>
    <w:rsid w:val="00567513"/>
    <w:rsid w:val="005679DB"/>
    <w:rsid w:val="00571A99"/>
    <w:rsid w:val="0057267F"/>
    <w:rsid w:val="00572E14"/>
    <w:rsid w:val="00573527"/>
    <w:rsid w:val="00575C65"/>
    <w:rsid w:val="00576AE8"/>
    <w:rsid w:val="00576BD5"/>
    <w:rsid w:val="00577A34"/>
    <w:rsid w:val="00580811"/>
    <w:rsid w:val="00580D8E"/>
    <w:rsid w:val="00583387"/>
    <w:rsid w:val="00585179"/>
    <w:rsid w:val="00591006"/>
    <w:rsid w:val="00596813"/>
    <w:rsid w:val="00596866"/>
    <w:rsid w:val="00596F04"/>
    <w:rsid w:val="00596F70"/>
    <w:rsid w:val="00597ABB"/>
    <w:rsid w:val="005A11B2"/>
    <w:rsid w:val="005A7D09"/>
    <w:rsid w:val="005B0732"/>
    <w:rsid w:val="005B08CE"/>
    <w:rsid w:val="005B154F"/>
    <w:rsid w:val="005B2D12"/>
    <w:rsid w:val="005B3765"/>
    <w:rsid w:val="005B3ABA"/>
    <w:rsid w:val="005B63D3"/>
    <w:rsid w:val="005C01B1"/>
    <w:rsid w:val="005C3ACF"/>
    <w:rsid w:val="005C41AE"/>
    <w:rsid w:val="005C62D8"/>
    <w:rsid w:val="005C74EA"/>
    <w:rsid w:val="005D2DE4"/>
    <w:rsid w:val="005D4321"/>
    <w:rsid w:val="005D6328"/>
    <w:rsid w:val="005D709B"/>
    <w:rsid w:val="005D7F18"/>
    <w:rsid w:val="005E157F"/>
    <w:rsid w:val="005E1A05"/>
    <w:rsid w:val="005E1B4A"/>
    <w:rsid w:val="005E1D06"/>
    <w:rsid w:val="005E419C"/>
    <w:rsid w:val="005E6E8D"/>
    <w:rsid w:val="005F002E"/>
    <w:rsid w:val="005F04FF"/>
    <w:rsid w:val="005F179A"/>
    <w:rsid w:val="005F1B38"/>
    <w:rsid w:val="005F3134"/>
    <w:rsid w:val="005F51B7"/>
    <w:rsid w:val="005F66E6"/>
    <w:rsid w:val="005F7BEC"/>
    <w:rsid w:val="0060024E"/>
    <w:rsid w:val="006008D7"/>
    <w:rsid w:val="00605F1A"/>
    <w:rsid w:val="00606BEF"/>
    <w:rsid w:val="00607F1B"/>
    <w:rsid w:val="00610E62"/>
    <w:rsid w:val="00612B57"/>
    <w:rsid w:val="00613445"/>
    <w:rsid w:val="00613EE4"/>
    <w:rsid w:val="00614938"/>
    <w:rsid w:val="00614C9C"/>
    <w:rsid w:val="00615F26"/>
    <w:rsid w:val="00627CB2"/>
    <w:rsid w:val="006342DB"/>
    <w:rsid w:val="00635D4A"/>
    <w:rsid w:val="006400B9"/>
    <w:rsid w:val="00640F78"/>
    <w:rsid w:val="00641E85"/>
    <w:rsid w:val="006426A3"/>
    <w:rsid w:val="0064569D"/>
    <w:rsid w:val="00646100"/>
    <w:rsid w:val="0064777E"/>
    <w:rsid w:val="00650054"/>
    <w:rsid w:val="0065154C"/>
    <w:rsid w:val="00653F76"/>
    <w:rsid w:val="00654057"/>
    <w:rsid w:val="00654D65"/>
    <w:rsid w:val="00657E54"/>
    <w:rsid w:val="00657EFD"/>
    <w:rsid w:val="006625EF"/>
    <w:rsid w:val="0066396D"/>
    <w:rsid w:val="006644E9"/>
    <w:rsid w:val="00665930"/>
    <w:rsid w:val="006665E1"/>
    <w:rsid w:val="00667F17"/>
    <w:rsid w:val="00670C09"/>
    <w:rsid w:val="00670C50"/>
    <w:rsid w:val="00673833"/>
    <w:rsid w:val="006810DC"/>
    <w:rsid w:val="00681AD7"/>
    <w:rsid w:val="00681B3C"/>
    <w:rsid w:val="006820D8"/>
    <w:rsid w:val="00684B99"/>
    <w:rsid w:val="0069259A"/>
    <w:rsid w:val="00692794"/>
    <w:rsid w:val="00692ED2"/>
    <w:rsid w:val="0069418A"/>
    <w:rsid w:val="00695998"/>
    <w:rsid w:val="006A0486"/>
    <w:rsid w:val="006A128F"/>
    <w:rsid w:val="006A1606"/>
    <w:rsid w:val="006A3C6C"/>
    <w:rsid w:val="006A7AE8"/>
    <w:rsid w:val="006A7E2E"/>
    <w:rsid w:val="006B321A"/>
    <w:rsid w:val="006B3BAD"/>
    <w:rsid w:val="006B42FB"/>
    <w:rsid w:val="006B6BEB"/>
    <w:rsid w:val="006B7F7A"/>
    <w:rsid w:val="006C16C6"/>
    <w:rsid w:val="006C1E8F"/>
    <w:rsid w:val="006C2D80"/>
    <w:rsid w:val="006C3617"/>
    <w:rsid w:val="006C3795"/>
    <w:rsid w:val="006C44F6"/>
    <w:rsid w:val="006C75B1"/>
    <w:rsid w:val="006C7EB6"/>
    <w:rsid w:val="006D0B2F"/>
    <w:rsid w:val="006D3902"/>
    <w:rsid w:val="006D4522"/>
    <w:rsid w:val="006E2519"/>
    <w:rsid w:val="006E2E96"/>
    <w:rsid w:val="006E3309"/>
    <w:rsid w:val="006E3450"/>
    <w:rsid w:val="006F47F0"/>
    <w:rsid w:val="006F4DC4"/>
    <w:rsid w:val="006F6B02"/>
    <w:rsid w:val="006F6E43"/>
    <w:rsid w:val="006F6F2E"/>
    <w:rsid w:val="00700267"/>
    <w:rsid w:val="00702D07"/>
    <w:rsid w:val="00703D58"/>
    <w:rsid w:val="00705B36"/>
    <w:rsid w:val="007060E5"/>
    <w:rsid w:val="007060EB"/>
    <w:rsid w:val="00715542"/>
    <w:rsid w:val="0072393C"/>
    <w:rsid w:val="00723F87"/>
    <w:rsid w:val="00724C62"/>
    <w:rsid w:val="00726F6D"/>
    <w:rsid w:val="0073037E"/>
    <w:rsid w:val="00730580"/>
    <w:rsid w:val="007321A0"/>
    <w:rsid w:val="007323EB"/>
    <w:rsid w:val="00732F41"/>
    <w:rsid w:val="00734098"/>
    <w:rsid w:val="00736F61"/>
    <w:rsid w:val="007408F1"/>
    <w:rsid w:val="00740E6C"/>
    <w:rsid w:val="007417E2"/>
    <w:rsid w:val="00742878"/>
    <w:rsid w:val="007449D4"/>
    <w:rsid w:val="00746739"/>
    <w:rsid w:val="007473FF"/>
    <w:rsid w:val="00750408"/>
    <w:rsid w:val="00751191"/>
    <w:rsid w:val="007534F2"/>
    <w:rsid w:val="007537AE"/>
    <w:rsid w:val="00755B40"/>
    <w:rsid w:val="00755B93"/>
    <w:rsid w:val="007563D2"/>
    <w:rsid w:val="00757905"/>
    <w:rsid w:val="007641B0"/>
    <w:rsid w:val="00764B1C"/>
    <w:rsid w:val="00764B64"/>
    <w:rsid w:val="00771471"/>
    <w:rsid w:val="007716D4"/>
    <w:rsid w:val="00775B1B"/>
    <w:rsid w:val="00775D40"/>
    <w:rsid w:val="00780887"/>
    <w:rsid w:val="00781E6B"/>
    <w:rsid w:val="00782D70"/>
    <w:rsid w:val="00787835"/>
    <w:rsid w:val="007907C6"/>
    <w:rsid w:val="007911AD"/>
    <w:rsid w:val="007974D0"/>
    <w:rsid w:val="007A32A4"/>
    <w:rsid w:val="007A38E5"/>
    <w:rsid w:val="007B1F62"/>
    <w:rsid w:val="007B3A2F"/>
    <w:rsid w:val="007B4648"/>
    <w:rsid w:val="007C040A"/>
    <w:rsid w:val="007C1509"/>
    <w:rsid w:val="007C201E"/>
    <w:rsid w:val="007C2B9D"/>
    <w:rsid w:val="007C404E"/>
    <w:rsid w:val="007C44C1"/>
    <w:rsid w:val="007C4E37"/>
    <w:rsid w:val="007C7758"/>
    <w:rsid w:val="007C7972"/>
    <w:rsid w:val="007D0182"/>
    <w:rsid w:val="007D3275"/>
    <w:rsid w:val="007D36B7"/>
    <w:rsid w:val="007D3AAF"/>
    <w:rsid w:val="007D700F"/>
    <w:rsid w:val="007D7652"/>
    <w:rsid w:val="007E0BB1"/>
    <w:rsid w:val="007E11D0"/>
    <w:rsid w:val="007E19D8"/>
    <w:rsid w:val="007E2539"/>
    <w:rsid w:val="007E6449"/>
    <w:rsid w:val="007E65DB"/>
    <w:rsid w:val="007E6B6E"/>
    <w:rsid w:val="007E7E32"/>
    <w:rsid w:val="007F037B"/>
    <w:rsid w:val="007F13DB"/>
    <w:rsid w:val="007F280B"/>
    <w:rsid w:val="007F2CBF"/>
    <w:rsid w:val="007F2EEE"/>
    <w:rsid w:val="007F5043"/>
    <w:rsid w:val="00803764"/>
    <w:rsid w:val="00804020"/>
    <w:rsid w:val="00804780"/>
    <w:rsid w:val="00805F32"/>
    <w:rsid w:val="00806448"/>
    <w:rsid w:val="00806C40"/>
    <w:rsid w:val="0081089C"/>
    <w:rsid w:val="00810B57"/>
    <w:rsid w:val="00811A87"/>
    <w:rsid w:val="008132BB"/>
    <w:rsid w:val="00813B4D"/>
    <w:rsid w:val="00813E22"/>
    <w:rsid w:val="00815AFC"/>
    <w:rsid w:val="00816285"/>
    <w:rsid w:val="00816520"/>
    <w:rsid w:val="00816E80"/>
    <w:rsid w:val="00820D92"/>
    <w:rsid w:val="00820F27"/>
    <w:rsid w:val="008232CA"/>
    <w:rsid w:val="00827A7E"/>
    <w:rsid w:val="00830DAC"/>
    <w:rsid w:val="00831C9B"/>
    <w:rsid w:val="00832066"/>
    <w:rsid w:val="008326DC"/>
    <w:rsid w:val="00832B9D"/>
    <w:rsid w:val="00832C9C"/>
    <w:rsid w:val="00836E21"/>
    <w:rsid w:val="008419E3"/>
    <w:rsid w:val="00841C4C"/>
    <w:rsid w:val="00843079"/>
    <w:rsid w:val="0084477B"/>
    <w:rsid w:val="00844E43"/>
    <w:rsid w:val="008453C1"/>
    <w:rsid w:val="008463DF"/>
    <w:rsid w:val="0084702F"/>
    <w:rsid w:val="00851125"/>
    <w:rsid w:val="008518E1"/>
    <w:rsid w:val="00860003"/>
    <w:rsid w:val="008600C7"/>
    <w:rsid w:val="00860659"/>
    <w:rsid w:val="00860A7F"/>
    <w:rsid w:val="00862017"/>
    <w:rsid w:val="00862308"/>
    <w:rsid w:val="00862352"/>
    <w:rsid w:val="00862CA1"/>
    <w:rsid w:val="00865AB0"/>
    <w:rsid w:val="00867203"/>
    <w:rsid w:val="00870525"/>
    <w:rsid w:val="00871F56"/>
    <w:rsid w:val="00872EC6"/>
    <w:rsid w:val="00872F21"/>
    <w:rsid w:val="00873C7A"/>
    <w:rsid w:val="008749E2"/>
    <w:rsid w:val="0087566F"/>
    <w:rsid w:val="00876C4F"/>
    <w:rsid w:val="0087736F"/>
    <w:rsid w:val="00880A30"/>
    <w:rsid w:val="008823BC"/>
    <w:rsid w:val="00882A79"/>
    <w:rsid w:val="008833CF"/>
    <w:rsid w:val="00884C01"/>
    <w:rsid w:val="0088513A"/>
    <w:rsid w:val="00885A0D"/>
    <w:rsid w:val="00886BDE"/>
    <w:rsid w:val="00887458"/>
    <w:rsid w:val="0089024E"/>
    <w:rsid w:val="00890581"/>
    <w:rsid w:val="008910B1"/>
    <w:rsid w:val="008937B3"/>
    <w:rsid w:val="008941F5"/>
    <w:rsid w:val="00897966"/>
    <w:rsid w:val="00897974"/>
    <w:rsid w:val="008A054A"/>
    <w:rsid w:val="008A381E"/>
    <w:rsid w:val="008A3EB8"/>
    <w:rsid w:val="008A5325"/>
    <w:rsid w:val="008C152E"/>
    <w:rsid w:val="008C1AB7"/>
    <w:rsid w:val="008C2345"/>
    <w:rsid w:val="008C30CE"/>
    <w:rsid w:val="008C4484"/>
    <w:rsid w:val="008C4C34"/>
    <w:rsid w:val="008C61BF"/>
    <w:rsid w:val="008D059F"/>
    <w:rsid w:val="008D12CC"/>
    <w:rsid w:val="008D7BBC"/>
    <w:rsid w:val="008E4996"/>
    <w:rsid w:val="008E4CF1"/>
    <w:rsid w:val="008E7162"/>
    <w:rsid w:val="008F1A73"/>
    <w:rsid w:val="008F3212"/>
    <w:rsid w:val="008F476B"/>
    <w:rsid w:val="00903DC2"/>
    <w:rsid w:val="00904CCD"/>
    <w:rsid w:val="0090531B"/>
    <w:rsid w:val="009104BE"/>
    <w:rsid w:val="00910A77"/>
    <w:rsid w:val="00912930"/>
    <w:rsid w:val="009160B5"/>
    <w:rsid w:val="00916947"/>
    <w:rsid w:val="00916CD3"/>
    <w:rsid w:val="00916F7B"/>
    <w:rsid w:val="009204D5"/>
    <w:rsid w:val="00922E47"/>
    <w:rsid w:val="0092547A"/>
    <w:rsid w:val="009260D9"/>
    <w:rsid w:val="0093235B"/>
    <w:rsid w:val="0093262D"/>
    <w:rsid w:val="00932A33"/>
    <w:rsid w:val="00932C40"/>
    <w:rsid w:val="00932CA4"/>
    <w:rsid w:val="00935852"/>
    <w:rsid w:val="00935A5F"/>
    <w:rsid w:val="00936545"/>
    <w:rsid w:val="00937ED4"/>
    <w:rsid w:val="00940195"/>
    <w:rsid w:val="009418E7"/>
    <w:rsid w:val="00941A4C"/>
    <w:rsid w:val="00943479"/>
    <w:rsid w:val="00943DDB"/>
    <w:rsid w:val="0094585D"/>
    <w:rsid w:val="0094654F"/>
    <w:rsid w:val="00946B9C"/>
    <w:rsid w:val="0094779C"/>
    <w:rsid w:val="00947F67"/>
    <w:rsid w:val="00950020"/>
    <w:rsid w:val="00951FE5"/>
    <w:rsid w:val="009529D8"/>
    <w:rsid w:val="00960CFF"/>
    <w:rsid w:val="00964FC3"/>
    <w:rsid w:val="00965EDD"/>
    <w:rsid w:val="00972CF8"/>
    <w:rsid w:val="00972E14"/>
    <w:rsid w:val="009744A3"/>
    <w:rsid w:val="00977E50"/>
    <w:rsid w:val="00981658"/>
    <w:rsid w:val="00992F2C"/>
    <w:rsid w:val="00993071"/>
    <w:rsid w:val="009930CE"/>
    <w:rsid w:val="00994395"/>
    <w:rsid w:val="009950E5"/>
    <w:rsid w:val="00995B28"/>
    <w:rsid w:val="00997A48"/>
    <w:rsid w:val="009A0035"/>
    <w:rsid w:val="009A1FEB"/>
    <w:rsid w:val="009A34B0"/>
    <w:rsid w:val="009A5677"/>
    <w:rsid w:val="009A5FA2"/>
    <w:rsid w:val="009A73EC"/>
    <w:rsid w:val="009A7F22"/>
    <w:rsid w:val="009B3F67"/>
    <w:rsid w:val="009B4525"/>
    <w:rsid w:val="009B5CF3"/>
    <w:rsid w:val="009B6148"/>
    <w:rsid w:val="009C07F4"/>
    <w:rsid w:val="009C7C81"/>
    <w:rsid w:val="009D03FC"/>
    <w:rsid w:val="009D0C65"/>
    <w:rsid w:val="009D3E71"/>
    <w:rsid w:val="009D61BB"/>
    <w:rsid w:val="009D6E5F"/>
    <w:rsid w:val="009E2B26"/>
    <w:rsid w:val="009E31F1"/>
    <w:rsid w:val="009E4ECD"/>
    <w:rsid w:val="009E5098"/>
    <w:rsid w:val="009E5F66"/>
    <w:rsid w:val="009F05CB"/>
    <w:rsid w:val="009F10D0"/>
    <w:rsid w:val="009F544C"/>
    <w:rsid w:val="009F5676"/>
    <w:rsid w:val="009F5ED3"/>
    <w:rsid w:val="009F65DA"/>
    <w:rsid w:val="009F7E10"/>
    <w:rsid w:val="00A03413"/>
    <w:rsid w:val="00A0376B"/>
    <w:rsid w:val="00A051FE"/>
    <w:rsid w:val="00A10892"/>
    <w:rsid w:val="00A10B59"/>
    <w:rsid w:val="00A119A8"/>
    <w:rsid w:val="00A12F1C"/>
    <w:rsid w:val="00A1485F"/>
    <w:rsid w:val="00A15612"/>
    <w:rsid w:val="00A17166"/>
    <w:rsid w:val="00A24517"/>
    <w:rsid w:val="00A26437"/>
    <w:rsid w:val="00A30503"/>
    <w:rsid w:val="00A31025"/>
    <w:rsid w:val="00A34657"/>
    <w:rsid w:val="00A35F6F"/>
    <w:rsid w:val="00A3745F"/>
    <w:rsid w:val="00A40585"/>
    <w:rsid w:val="00A405BB"/>
    <w:rsid w:val="00A45674"/>
    <w:rsid w:val="00A46F26"/>
    <w:rsid w:val="00A470FB"/>
    <w:rsid w:val="00A500FC"/>
    <w:rsid w:val="00A51F77"/>
    <w:rsid w:val="00A523E0"/>
    <w:rsid w:val="00A52780"/>
    <w:rsid w:val="00A5522D"/>
    <w:rsid w:val="00A553F8"/>
    <w:rsid w:val="00A55455"/>
    <w:rsid w:val="00A5705B"/>
    <w:rsid w:val="00A619FA"/>
    <w:rsid w:val="00A629E0"/>
    <w:rsid w:val="00A6629C"/>
    <w:rsid w:val="00A67041"/>
    <w:rsid w:val="00A703EC"/>
    <w:rsid w:val="00A72242"/>
    <w:rsid w:val="00A73282"/>
    <w:rsid w:val="00A735A9"/>
    <w:rsid w:val="00A747F4"/>
    <w:rsid w:val="00A76C61"/>
    <w:rsid w:val="00A80826"/>
    <w:rsid w:val="00A8097C"/>
    <w:rsid w:val="00A80D55"/>
    <w:rsid w:val="00A8150A"/>
    <w:rsid w:val="00A83C54"/>
    <w:rsid w:val="00A85D4C"/>
    <w:rsid w:val="00A86444"/>
    <w:rsid w:val="00A87DC0"/>
    <w:rsid w:val="00A9001E"/>
    <w:rsid w:val="00A9197A"/>
    <w:rsid w:val="00A9208C"/>
    <w:rsid w:val="00A973C6"/>
    <w:rsid w:val="00A974CE"/>
    <w:rsid w:val="00A97DBC"/>
    <w:rsid w:val="00AA1E80"/>
    <w:rsid w:val="00AA236A"/>
    <w:rsid w:val="00AA27E6"/>
    <w:rsid w:val="00AA3862"/>
    <w:rsid w:val="00AA43C7"/>
    <w:rsid w:val="00AA45F0"/>
    <w:rsid w:val="00AA4F6B"/>
    <w:rsid w:val="00AA545A"/>
    <w:rsid w:val="00AA7524"/>
    <w:rsid w:val="00AB4BF7"/>
    <w:rsid w:val="00AB511F"/>
    <w:rsid w:val="00AB541C"/>
    <w:rsid w:val="00AB555D"/>
    <w:rsid w:val="00AB79C5"/>
    <w:rsid w:val="00AB7B32"/>
    <w:rsid w:val="00AB7FCB"/>
    <w:rsid w:val="00AC153B"/>
    <w:rsid w:val="00AC23D7"/>
    <w:rsid w:val="00AC362D"/>
    <w:rsid w:val="00AC4F6D"/>
    <w:rsid w:val="00AC60F2"/>
    <w:rsid w:val="00AD19EB"/>
    <w:rsid w:val="00AD1A05"/>
    <w:rsid w:val="00AD3E57"/>
    <w:rsid w:val="00AD4340"/>
    <w:rsid w:val="00AD4B3A"/>
    <w:rsid w:val="00AD673C"/>
    <w:rsid w:val="00AE39A3"/>
    <w:rsid w:val="00AF15B1"/>
    <w:rsid w:val="00AF1A72"/>
    <w:rsid w:val="00AF3F69"/>
    <w:rsid w:val="00AF468A"/>
    <w:rsid w:val="00AF4804"/>
    <w:rsid w:val="00AF49E1"/>
    <w:rsid w:val="00B01288"/>
    <w:rsid w:val="00B025D9"/>
    <w:rsid w:val="00B033F2"/>
    <w:rsid w:val="00B04B00"/>
    <w:rsid w:val="00B05DAC"/>
    <w:rsid w:val="00B070D6"/>
    <w:rsid w:val="00B114A3"/>
    <w:rsid w:val="00B12442"/>
    <w:rsid w:val="00B157DD"/>
    <w:rsid w:val="00B15F44"/>
    <w:rsid w:val="00B1749C"/>
    <w:rsid w:val="00B17875"/>
    <w:rsid w:val="00B204BD"/>
    <w:rsid w:val="00B2173F"/>
    <w:rsid w:val="00B2257B"/>
    <w:rsid w:val="00B23695"/>
    <w:rsid w:val="00B24575"/>
    <w:rsid w:val="00B25521"/>
    <w:rsid w:val="00B257E3"/>
    <w:rsid w:val="00B273BF"/>
    <w:rsid w:val="00B27D1C"/>
    <w:rsid w:val="00B32426"/>
    <w:rsid w:val="00B34975"/>
    <w:rsid w:val="00B42B4F"/>
    <w:rsid w:val="00B42E4A"/>
    <w:rsid w:val="00B44FAF"/>
    <w:rsid w:val="00B46509"/>
    <w:rsid w:val="00B46583"/>
    <w:rsid w:val="00B46920"/>
    <w:rsid w:val="00B50B1B"/>
    <w:rsid w:val="00B6205A"/>
    <w:rsid w:val="00B62BD0"/>
    <w:rsid w:val="00B67DBF"/>
    <w:rsid w:val="00B7106C"/>
    <w:rsid w:val="00B713F5"/>
    <w:rsid w:val="00B72B56"/>
    <w:rsid w:val="00B747C6"/>
    <w:rsid w:val="00B756FF"/>
    <w:rsid w:val="00B81735"/>
    <w:rsid w:val="00B82307"/>
    <w:rsid w:val="00B8344A"/>
    <w:rsid w:val="00B8356E"/>
    <w:rsid w:val="00B86B8F"/>
    <w:rsid w:val="00B9139B"/>
    <w:rsid w:val="00B916AD"/>
    <w:rsid w:val="00B91778"/>
    <w:rsid w:val="00B91DFF"/>
    <w:rsid w:val="00B92C5E"/>
    <w:rsid w:val="00B93279"/>
    <w:rsid w:val="00B96296"/>
    <w:rsid w:val="00BA44AC"/>
    <w:rsid w:val="00BA7A97"/>
    <w:rsid w:val="00BB3044"/>
    <w:rsid w:val="00BB41B1"/>
    <w:rsid w:val="00BB46D4"/>
    <w:rsid w:val="00BB5143"/>
    <w:rsid w:val="00BB7887"/>
    <w:rsid w:val="00BC5E08"/>
    <w:rsid w:val="00BD20B4"/>
    <w:rsid w:val="00BD67DE"/>
    <w:rsid w:val="00BD725C"/>
    <w:rsid w:val="00BE0966"/>
    <w:rsid w:val="00BE1AA0"/>
    <w:rsid w:val="00BE353A"/>
    <w:rsid w:val="00BE3A0E"/>
    <w:rsid w:val="00BE6CAE"/>
    <w:rsid w:val="00BF0015"/>
    <w:rsid w:val="00BF096B"/>
    <w:rsid w:val="00BF0D6C"/>
    <w:rsid w:val="00BF2F8B"/>
    <w:rsid w:val="00BF5896"/>
    <w:rsid w:val="00BF597F"/>
    <w:rsid w:val="00BF5DA5"/>
    <w:rsid w:val="00BF608E"/>
    <w:rsid w:val="00BF6786"/>
    <w:rsid w:val="00C01F58"/>
    <w:rsid w:val="00C04CDF"/>
    <w:rsid w:val="00C06039"/>
    <w:rsid w:val="00C069F0"/>
    <w:rsid w:val="00C13312"/>
    <w:rsid w:val="00C13C95"/>
    <w:rsid w:val="00C14980"/>
    <w:rsid w:val="00C15555"/>
    <w:rsid w:val="00C15939"/>
    <w:rsid w:val="00C17283"/>
    <w:rsid w:val="00C1784F"/>
    <w:rsid w:val="00C179F5"/>
    <w:rsid w:val="00C17E9A"/>
    <w:rsid w:val="00C238AA"/>
    <w:rsid w:val="00C25731"/>
    <w:rsid w:val="00C2601E"/>
    <w:rsid w:val="00C31313"/>
    <w:rsid w:val="00C33D7A"/>
    <w:rsid w:val="00C343BD"/>
    <w:rsid w:val="00C34E66"/>
    <w:rsid w:val="00C359F6"/>
    <w:rsid w:val="00C43A73"/>
    <w:rsid w:val="00C4535D"/>
    <w:rsid w:val="00C46F69"/>
    <w:rsid w:val="00C50ED2"/>
    <w:rsid w:val="00C5202E"/>
    <w:rsid w:val="00C520BB"/>
    <w:rsid w:val="00C54980"/>
    <w:rsid w:val="00C54DA7"/>
    <w:rsid w:val="00C552BF"/>
    <w:rsid w:val="00C56B61"/>
    <w:rsid w:val="00C605C6"/>
    <w:rsid w:val="00C628F0"/>
    <w:rsid w:val="00C6307E"/>
    <w:rsid w:val="00C63E55"/>
    <w:rsid w:val="00C6418A"/>
    <w:rsid w:val="00C70B3C"/>
    <w:rsid w:val="00C70DC4"/>
    <w:rsid w:val="00C711CB"/>
    <w:rsid w:val="00C73694"/>
    <w:rsid w:val="00C73CD6"/>
    <w:rsid w:val="00C771C4"/>
    <w:rsid w:val="00C801C0"/>
    <w:rsid w:val="00C80934"/>
    <w:rsid w:val="00C80DA1"/>
    <w:rsid w:val="00C82C32"/>
    <w:rsid w:val="00C83696"/>
    <w:rsid w:val="00C84BE1"/>
    <w:rsid w:val="00C8778E"/>
    <w:rsid w:val="00C8786C"/>
    <w:rsid w:val="00C93E25"/>
    <w:rsid w:val="00C944CE"/>
    <w:rsid w:val="00C94FEB"/>
    <w:rsid w:val="00C96F24"/>
    <w:rsid w:val="00CA08E4"/>
    <w:rsid w:val="00CA16F7"/>
    <w:rsid w:val="00CA1B8E"/>
    <w:rsid w:val="00CA6E8E"/>
    <w:rsid w:val="00CB4DBA"/>
    <w:rsid w:val="00CB5932"/>
    <w:rsid w:val="00CC0462"/>
    <w:rsid w:val="00CC2675"/>
    <w:rsid w:val="00CC3C1E"/>
    <w:rsid w:val="00CC6B0A"/>
    <w:rsid w:val="00CC7B8E"/>
    <w:rsid w:val="00CD002D"/>
    <w:rsid w:val="00CE0A64"/>
    <w:rsid w:val="00CE227F"/>
    <w:rsid w:val="00CE3828"/>
    <w:rsid w:val="00CE3EEC"/>
    <w:rsid w:val="00CE42D5"/>
    <w:rsid w:val="00CE79CF"/>
    <w:rsid w:val="00CF0DAF"/>
    <w:rsid w:val="00CF1783"/>
    <w:rsid w:val="00CF1790"/>
    <w:rsid w:val="00CF1A6D"/>
    <w:rsid w:val="00CF3D6C"/>
    <w:rsid w:val="00CF4900"/>
    <w:rsid w:val="00CF5496"/>
    <w:rsid w:val="00D02B7C"/>
    <w:rsid w:val="00D058F3"/>
    <w:rsid w:val="00D11D02"/>
    <w:rsid w:val="00D1514F"/>
    <w:rsid w:val="00D168DF"/>
    <w:rsid w:val="00D16B37"/>
    <w:rsid w:val="00D233EC"/>
    <w:rsid w:val="00D2519F"/>
    <w:rsid w:val="00D34B43"/>
    <w:rsid w:val="00D36491"/>
    <w:rsid w:val="00D367DD"/>
    <w:rsid w:val="00D368DB"/>
    <w:rsid w:val="00D37D09"/>
    <w:rsid w:val="00D40589"/>
    <w:rsid w:val="00D40F9F"/>
    <w:rsid w:val="00D4144B"/>
    <w:rsid w:val="00D42425"/>
    <w:rsid w:val="00D425D1"/>
    <w:rsid w:val="00D42D09"/>
    <w:rsid w:val="00D43001"/>
    <w:rsid w:val="00D441D6"/>
    <w:rsid w:val="00D44B65"/>
    <w:rsid w:val="00D54B4F"/>
    <w:rsid w:val="00D55F05"/>
    <w:rsid w:val="00D566A8"/>
    <w:rsid w:val="00D60270"/>
    <w:rsid w:val="00D6326E"/>
    <w:rsid w:val="00D63E1D"/>
    <w:rsid w:val="00D64BCF"/>
    <w:rsid w:val="00D67864"/>
    <w:rsid w:val="00D7139A"/>
    <w:rsid w:val="00D71CE3"/>
    <w:rsid w:val="00D73DF7"/>
    <w:rsid w:val="00D75DED"/>
    <w:rsid w:val="00D765E7"/>
    <w:rsid w:val="00D76789"/>
    <w:rsid w:val="00D8067D"/>
    <w:rsid w:val="00D82E01"/>
    <w:rsid w:val="00D83EA5"/>
    <w:rsid w:val="00D84798"/>
    <w:rsid w:val="00D84DE0"/>
    <w:rsid w:val="00D858E4"/>
    <w:rsid w:val="00D91727"/>
    <w:rsid w:val="00D956BC"/>
    <w:rsid w:val="00D970EF"/>
    <w:rsid w:val="00DA0BB3"/>
    <w:rsid w:val="00DA1E64"/>
    <w:rsid w:val="00DA2F35"/>
    <w:rsid w:val="00DA34A5"/>
    <w:rsid w:val="00DA5488"/>
    <w:rsid w:val="00DA5DE6"/>
    <w:rsid w:val="00DA5EC7"/>
    <w:rsid w:val="00DA6267"/>
    <w:rsid w:val="00DB5070"/>
    <w:rsid w:val="00DB5A7D"/>
    <w:rsid w:val="00DB6032"/>
    <w:rsid w:val="00DC08E9"/>
    <w:rsid w:val="00DC0A15"/>
    <w:rsid w:val="00DC30AD"/>
    <w:rsid w:val="00DC5377"/>
    <w:rsid w:val="00DC637F"/>
    <w:rsid w:val="00DC6A49"/>
    <w:rsid w:val="00DD2659"/>
    <w:rsid w:val="00DD4C5F"/>
    <w:rsid w:val="00DD7376"/>
    <w:rsid w:val="00DD7BBC"/>
    <w:rsid w:val="00DE024F"/>
    <w:rsid w:val="00DE21EB"/>
    <w:rsid w:val="00DE5E3B"/>
    <w:rsid w:val="00DE6C9F"/>
    <w:rsid w:val="00DF407C"/>
    <w:rsid w:val="00DF4868"/>
    <w:rsid w:val="00DF7BA8"/>
    <w:rsid w:val="00E02A6B"/>
    <w:rsid w:val="00E05FDF"/>
    <w:rsid w:val="00E074EB"/>
    <w:rsid w:val="00E121C9"/>
    <w:rsid w:val="00E15A27"/>
    <w:rsid w:val="00E161D8"/>
    <w:rsid w:val="00E16DBD"/>
    <w:rsid w:val="00E201A6"/>
    <w:rsid w:val="00E23F4A"/>
    <w:rsid w:val="00E25010"/>
    <w:rsid w:val="00E27F6B"/>
    <w:rsid w:val="00E3294B"/>
    <w:rsid w:val="00E347CC"/>
    <w:rsid w:val="00E34D57"/>
    <w:rsid w:val="00E408DE"/>
    <w:rsid w:val="00E436AE"/>
    <w:rsid w:val="00E4760C"/>
    <w:rsid w:val="00E50A7B"/>
    <w:rsid w:val="00E51111"/>
    <w:rsid w:val="00E5266E"/>
    <w:rsid w:val="00E5360D"/>
    <w:rsid w:val="00E605C1"/>
    <w:rsid w:val="00E645FA"/>
    <w:rsid w:val="00E65946"/>
    <w:rsid w:val="00E67594"/>
    <w:rsid w:val="00E72508"/>
    <w:rsid w:val="00E7309D"/>
    <w:rsid w:val="00E7316A"/>
    <w:rsid w:val="00E73F7C"/>
    <w:rsid w:val="00E77673"/>
    <w:rsid w:val="00E85631"/>
    <w:rsid w:val="00E85D71"/>
    <w:rsid w:val="00E86B66"/>
    <w:rsid w:val="00E90D21"/>
    <w:rsid w:val="00E91806"/>
    <w:rsid w:val="00E939D8"/>
    <w:rsid w:val="00E96176"/>
    <w:rsid w:val="00EA0BFD"/>
    <w:rsid w:val="00EA2838"/>
    <w:rsid w:val="00EA4B6C"/>
    <w:rsid w:val="00EA5FC3"/>
    <w:rsid w:val="00EA7F1D"/>
    <w:rsid w:val="00EB333C"/>
    <w:rsid w:val="00EB3826"/>
    <w:rsid w:val="00EB3D2A"/>
    <w:rsid w:val="00EB5C06"/>
    <w:rsid w:val="00EB6DCA"/>
    <w:rsid w:val="00EB6F62"/>
    <w:rsid w:val="00EB7527"/>
    <w:rsid w:val="00EC0C37"/>
    <w:rsid w:val="00EC303C"/>
    <w:rsid w:val="00EC3EE8"/>
    <w:rsid w:val="00EC58F2"/>
    <w:rsid w:val="00EC6967"/>
    <w:rsid w:val="00ED09FA"/>
    <w:rsid w:val="00ED45FD"/>
    <w:rsid w:val="00ED528C"/>
    <w:rsid w:val="00ED68E6"/>
    <w:rsid w:val="00ED7298"/>
    <w:rsid w:val="00EE1BBA"/>
    <w:rsid w:val="00EE265B"/>
    <w:rsid w:val="00EE2A5F"/>
    <w:rsid w:val="00EE3FE2"/>
    <w:rsid w:val="00EE7524"/>
    <w:rsid w:val="00EF0512"/>
    <w:rsid w:val="00EF24E9"/>
    <w:rsid w:val="00EF2F69"/>
    <w:rsid w:val="00EF7331"/>
    <w:rsid w:val="00EF7F79"/>
    <w:rsid w:val="00F031BC"/>
    <w:rsid w:val="00F031D5"/>
    <w:rsid w:val="00F04111"/>
    <w:rsid w:val="00F0534C"/>
    <w:rsid w:val="00F06166"/>
    <w:rsid w:val="00F0654B"/>
    <w:rsid w:val="00F108ED"/>
    <w:rsid w:val="00F10FEE"/>
    <w:rsid w:val="00F139E2"/>
    <w:rsid w:val="00F15F46"/>
    <w:rsid w:val="00F20B23"/>
    <w:rsid w:val="00F22EA0"/>
    <w:rsid w:val="00F243D4"/>
    <w:rsid w:val="00F327F3"/>
    <w:rsid w:val="00F3355C"/>
    <w:rsid w:val="00F35EBA"/>
    <w:rsid w:val="00F3618E"/>
    <w:rsid w:val="00F365B6"/>
    <w:rsid w:val="00F36614"/>
    <w:rsid w:val="00F36B01"/>
    <w:rsid w:val="00F3720E"/>
    <w:rsid w:val="00F43BB7"/>
    <w:rsid w:val="00F4410A"/>
    <w:rsid w:val="00F443A3"/>
    <w:rsid w:val="00F44E81"/>
    <w:rsid w:val="00F53006"/>
    <w:rsid w:val="00F57E0B"/>
    <w:rsid w:val="00F63CCA"/>
    <w:rsid w:val="00F643F2"/>
    <w:rsid w:val="00F6514C"/>
    <w:rsid w:val="00F675E6"/>
    <w:rsid w:val="00F70E66"/>
    <w:rsid w:val="00F7131B"/>
    <w:rsid w:val="00F7142B"/>
    <w:rsid w:val="00F76A34"/>
    <w:rsid w:val="00F76C61"/>
    <w:rsid w:val="00F832CF"/>
    <w:rsid w:val="00F85DF4"/>
    <w:rsid w:val="00F95B57"/>
    <w:rsid w:val="00F96D94"/>
    <w:rsid w:val="00FA12E6"/>
    <w:rsid w:val="00FA16FC"/>
    <w:rsid w:val="00FA3070"/>
    <w:rsid w:val="00FA3508"/>
    <w:rsid w:val="00FA4EF6"/>
    <w:rsid w:val="00FB1A50"/>
    <w:rsid w:val="00FB24EC"/>
    <w:rsid w:val="00FB5025"/>
    <w:rsid w:val="00FB6FF0"/>
    <w:rsid w:val="00FB7746"/>
    <w:rsid w:val="00FC7769"/>
    <w:rsid w:val="00FD1BFD"/>
    <w:rsid w:val="00FD44B0"/>
    <w:rsid w:val="00FD502E"/>
    <w:rsid w:val="00FD5437"/>
    <w:rsid w:val="00FE0FD6"/>
    <w:rsid w:val="00FE22EF"/>
    <w:rsid w:val="00FE2A95"/>
    <w:rsid w:val="00FE3A99"/>
    <w:rsid w:val="00FE3C78"/>
    <w:rsid w:val="00FE6218"/>
    <w:rsid w:val="00FE729F"/>
    <w:rsid w:val="00FF013F"/>
    <w:rsid w:val="00FF059E"/>
    <w:rsid w:val="00FF3EC3"/>
    <w:rsid w:val="00FF4226"/>
    <w:rsid w:val="00FF5F42"/>
    <w:rsid w:val="00FF603A"/>
    <w:rsid w:val="00FF633B"/>
    <w:rsid w:val="00FF6483"/>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08D"/>
  <w15:docId w15:val="{5C04C8AE-47F9-4782-9B3B-E022DD3D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26"/>
    <w:pPr>
      <w:ind w:left="720"/>
      <w:contextualSpacing/>
    </w:pPr>
  </w:style>
  <w:style w:type="character" w:styleId="Hyperlink">
    <w:name w:val="Hyperlink"/>
    <w:basedOn w:val="DefaultParagraphFont"/>
    <w:uiPriority w:val="99"/>
    <w:unhideWhenUsed/>
    <w:rsid w:val="003167E4"/>
    <w:rPr>
      <w:color w:val="0000FF" w:themeColor="hyperlink"/>
      <w:u w:val="single"/>
    </w:rPr>
  </w:style>
  <w:style w:type="paragraph" w:styleId="Quote">
    <w:name w:val="Quote"/>
    <w:basedOn w:val="Normal"/>
    <w:next w:val="Normal"/>
    <w:link w:val="QuoteChar"/>
    <w:uiPriority w:val="29"/>
    <w:qFormat/>
    <w:rsid w:val="0046785D"/>
    <w:rPr>
      <w:i/>
      <w:iCs/>
      <w:color w:val="000000" w:themeColor="text1"/>
    </w:rPr>
  </w:style>
  <w:style w:type="character" w:customStyle="1" w:styleId="QuoteChar">
    <w:name w:val="Quote Char"/>
    <w:basedOn w:val="DefaultParagraphFont"/>
    <w:link w:val="Quote"/>
    <w:uiPriority w:val="29"/>
    <w:rsid w:val="0046785D"/>
    <w:rPr>
      <w:i/>
      <w:iCs/>
      <w:color w:val="000000" w:themeColor="text1"/>
    </w:rPr>
  </w:style>
  <w:style w:type="table" w:styleId="TableGrid">
    <w:name w:val="Table Grid"/>
    <w:basedOn w:val="TableNormal"/>
    <w:uiPriority w:val="59"/>
    <w:rsid w:val="00217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11A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F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900"/>
    <w:rPr>
      <w:rFonts w:ascii="Tahoma" w:hAnsi="Tahoma" w:cs="Tahoma"/>
      <w:sz w:val="16"/>
      <w:szCs w:val="16"/>
    </w:rPr>
  </w:style>
  <w:style w:type="character" w:customStyle="1" w:styleId="apple-converted-space">
    <w:name w:val="apple-converted-space"/>
    <w:basedOn w:val="DefaultParagraphFont"/>
    <w:rsid w:val="00BC5E08"/>
  </w:style>
  <w:style w:type="character" w:styleId="PlaceholderText">
    <w:name w:val="Placeholder Text"/>
    <w:basedOn w:val="DefaultParagraphFont"/>
    <w:uiPriority w:val="99"/>
    <w:semiHidden/>
    <w:rsid w:val="00AF1A72"/>
    <w:rPr>
      <w:color w:val="808080"/>
    </w:rPr>
  </w:style>
  <w:style w:type="paragraph" w:styleId="Revision">
    <w:name w:val="Revision"/>
    <w:hidden/>
    <w:uiPriority w:val="99"/>
    <w:semiHidden/>
    <w:rsid w:val="00276687"/>
    <w:pPr>
      <w:spacing w:after="0" w:line="240" w:lineRule="auto"/>
    </w:pPr>
  </w:style>
  <w:style w:type="character" w:styleId="FollowedHyperlink">
    <w:name w:val="FollowedHyperlink"/>
    <w:basedOn w:val="DefaultParagraphFont"/>
    <w:uiPriority w:val="99"/>
    <w:semiHidden/>
    <w:unhideWhenUsed/>
    <w:rsid w:val="00C43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571">
      <w:bodyDiv w:val="1"/>
      <w:marLeft w:val="0"/>
      <w:marRight w:val="0"/>
      <w:marTop w:val="0"/>
      <w:marBottom w:val="0"/>
      <w:divBdr>
        <w:top w:val="none" w:sz="0" w:space="0" w:color="auto"/>
        <w:left w:val="none" w:sz="0" w:space="0" w:color="auto"/>
        <w:bottom w:val="none" w:sz="0" w:space="0" w:color="auto"/>
        <w:right w:val="none" w:sz="0" w:space="0" w:color="auto"/>
      </w:divBdr>
    </w:div>
    <w:div w:id="55130809">
      <w:bodyDiv w:val="1"/>
      <w:marLeft w:val="0"/>
      <w:marRight w:val="0"/>
      <w:marTop w:val="0"/>
      <w:marBottom w:val="0"/>
      <w:divBdr>
        <w:top w:val="none" w:sz="0" w:space="0" w:color="auto"/>
        <w:left w:val="none" w:sz="0" w:space="0" w:color="auto"/>
        <w:bottom w:val="none" w:sz="0" w:space="0" w:color="auto"/>
        <w:right w:val="none" w:sz="0" w:space="0" w:color="auto"/>
      </w:divBdr>
    </w:div>
    <w:div w:id="269826381">
      <w:bodyDiv w:val="1"/>
      <w:marLeft w:val="0"/>
      <w:marRight w:val="0"/>
      <w:marTop w:val="0"/>
      <w:marBottom w:val="0"/>
      <w:divBdr>
        <w:top w:val="none" w:sz="0" w:space="0" w:color="auto"/>
        <w:left w:val="none" w:sz="0" w:space="0" w:color="auto"/>
        <w:bottom w:val="none" w:sz="0" w:space="0" w:color="auto"/>
        <w:right w:val="none" w:sz="0" w:space="0" w:color="auto"/>
      </w:divBdr>
    </w:div>
    <w:div w:id="346252889">
      <w:bodyDiv w:val="1"/>
      <w:marLeft w:val="0"/>
      <w:marRight w:val="0"/>
      <w:marTop w:val="0"/>
      <w:marBottom w:val="0"/>
      <w:divBdr>
        <w:top w:val="none" w:sz="0" w:space="0" w:color="auto"/>
        <w:left w:val="none" w:sz="0" w:space="0" w:color="auto"/>
        <w:bottom w:val="none" w:sz="0" w:space="0" w:color="auto"/>
        <w:right w:val="none" w:sz="0" w:space="0" w:color="auto"/>
      </w:divBdr>
    </w:div>
    <w:div w:id="349649016">
      <w:bodyDiv w:val="1"/>
      <w:marLeft w:val="0"/>
      <w:marRight w:val="0"/>
      <w:marTop w:val="0"/>
      <w:marBottom w:val="0"/>
      <w:divBdr>
        <w:top w:val="none" w:sz="0" w:space="0" w:color="auto"/>
        <w:left w:val="none" w:sz="0" w:space="0" w:color="auto"/>
        <w:bottom w:val="none" w:sz="0" w:space="0" w:color="auto"/>
        <w:right w:val="none" w:sz="0" w:space="0" w:color="auto"/>
      </w:divBdr>
    </w:div>
    <w:div w:id="380859493">
      <w:bodyDiv w:val="1"/>
      <w:marLeft w:val="0"/>
      <w:marRight w:val="0"/>
      <w:marTop w:val="0"/>
      <w:marBottom w:val="0"/>
      <w:divBdr>
        <w:top w:val="none" w:sz="0" w:space="0" w:color="auto"/>
        <w:left w:val="none" w:sz="0" w:space="0" w:color="auto"/>
        <w:bottom w:val="none" w:sz="0" w:space="0" w:color="auto"/>
        <w:right w:val="none" w:sz="0" w:space="0" w:color="auto"/>
      </w:divBdr>
    </w:div>
    <w:div w:id="394544942">
      <w:bodyDiv w:val="1"/>
      <w:marLeft w:val="0"/>
      <w:marRight w:val="0"/>
      <w:marTop w:val="0"/>
      <w:marBottom w:val="0"/>
      <w:divBdr>
        <w:top w:val="none" w:sz="0" w:space="0" w:color="auto"/>
        <w:left w:val="none" w:sz="0" w:space="0" w:color="auto"/>
        <w:bottom w:val="none" w:sz="0" w:space="0" w:color="auto"/>
        <w:right w:val="none" w:sz="0" w:space="0" w:color="auto"/>
      </w:divBdr>
    </w:div>
    <w:div w:id="483086546">
      <w:bodyDiv w:val="1"/>
      <w:marLeft w:val="0"/>
      <w:marRight w:val="0"/>
      <w:marTop w:val="0"/>
      <w:marBottom w:val="0"/>
      <w:divBdr>
        <w:top w:val="none" w:sz="0" w:space="0" w:color="auto"/>
        <w:left w:val="none" w:sz="0" w:space="0" w:color="auto"/>
        <w:bottom w:val="none" w:sz="0" w:space="0" w:color="auto"/>
        <w:right w:val="none" w:sz="0" w:space="0" w:color="auto"/>
      </w:divBdr>
    </w:div>
    <w:div w:id="490878651">
      <w:bodyDiv w:val="1"/>
      <w:marLeft w:val="0"/>
      <w:marRight w:val="0"/>
      <w:marTop w:val="0"/>
      <w:marBottom w:val="0"/>
      <w:divBdr>
        <w:top w:val="none" w:sz="0" w:space="0" w:color="auto"/>
        <w:left w:val="none" w:sz="0" w:space="0" w:color="auto"/>
        <w:bottom w:val="none" w:sz="0" w:space="0" w:color="auto"/>
        <w:right w:val="none" w:sz="0" w:space="0" w:color="auto"/>
      </w:divBdr>
    </w:div>
    <w:div w:id="498473034">
      <w:bodyDiv w:val="1"/>
      <w:marLeft w:val="0"/>
      <w:marRight w:val="0"/>
      <w:marTop w:val="0"/>
      <w:marBottom w:val="0"/>
      <w:divBdr>
        <w:top w:val="none" w:sz="0" w:space="0" w:color="auto"/>
        <w:left w:val="none" w:sz="0" w:space="0" w:color="auto"/>
        <w:bottom w:val="none" w:sz="0" w:space="0" w:color="auto"/>
        <w:right w:val="none" w:sz="0" w:space="0" w:color="auto"/>
      </w:divBdr>
    </w:div>
    <w:div w:id="541137224">
      <w:bodyDiv w:val="1"/>
      <w:marLeft w:val="0"/>
      <w:marRight w:val="0"/>
      <w:marTop w:val="0"/>
      <w:marBottom w:val="0"/>
      <w:divBdr>
        <w:top w:val="none" w:sz="0" w:space="0" w:color="auto"/>
        <w:left w:val="none" w:sz="0" w:space="0" w:color="auto"/>
        <w:bottom w:val="none" w:sz="0" w:space="0" w:color="auto"/>
        <w:right w:val="none" w:sz="0" w:space="0" w:color="auto"/>
      </w:divBdr>
    </w:div>
    <w:div w:id="663515165">
      <w:bodyDiv w:val="1"/>
      <w:marLeft w:val="0"/>
      <w:marRight w:val="0"/>
      <w:marTop w:val="0"/>
      <w:marBottom w:val="0"/>
      <w:divBdr>
        <w:top w:val="none" w:sz="0" w:space="0" w:color="auto"/>
        <w:left w:val="none" w:sz="0" w:space="0" w:color="auto"/>
        <w:bottom w:val="none" w:sz="0" w:space="0" w:color="auto"/>
        <w:right w:val="none" w:sz="0" w:space="0" w:color="auto"/>
      </w:divBdr>
    </w:div>
    <w:div w:id="742413296">
      <w:bodyDiv w:val="1"/>
      <w:marLeft w:val="0"/>
      <w:marRight w:val="0"/>
      <w:marTop w:val="0"/>
      <w:marBottom w:val="0"/>
      <w:divBdr>
        <w:top w:val="none" w:sz="0" w:space="0" w:color="auto"/>
        <w:left w:val="none" w:sz="0" w:space="0" w:color="auto"/>
        <w:bottom w:val="none" w:sz="0" w:space="0" w:color="auto"/>
        <w:right w:val="none" w:sz="0" w:space="0" w:color="auto"/>
      </w:divBdr>
    </w:div>
    <w:div w:id="782655616">
      <w:bodyDiv w:val="1"/>
      <w:marLeft w:val="0"/>
      <w:marRight w:val="0"/>
      <w:marTop w:val="0"/>
      <w:marBottom w:val="0"/>
      <w:divBdr>
        <w:top w:val="none" w:sz="0" w:space="0" w:color="auto"/>
        <w:left w:val="none" w:sz="0" w:space="0" w:color="auto"/>
        <w:bottom w:val="none" w:sz="0" w:space="0" w:color="auto"/>
        <w:right w:val="none" w:sz="0" w:space="0" w:color="auto"/>
      </w:divBdr>
    </w:div>
    <w:div w:id="786701942">
      <w:bodyDiv w:val="1"/>
      <w:marLeft w:val="0"/>
      <w:marRight w:val="0"/>
      <w:marTop w:val="0"/>
      <w:marBottom w:val="0"/>
      <w:divBdr>
        <w:top w:val="none" w:sz="0" w:space="0" w:color="auto"/>
        <w:left w:val="none" w:sz="0" w:space="0" w:color="auto"/>
        <w:bottom w:val="none" w:sz="0" w:space="0" w:color="auto"/>
        <w:right w:val="none" w:sz="0" w:space="0" w:color="auto"/>
      </w:divBdr>
    </w:div>
    <w:div w:id="875002235">
      <w:bodyDiv w:val="1"/>
      <w:marLeft w:val="0"/>
      <w:marRight w:val="0"/>
      <w:marTop w:val="0"/>
      <w:marBottom w:val="0"/>
      <w:divBdr>
        <w:top w:val="none" w:sz="0" w:space="0" w:color="auto"/>
        <w:left w:val="none" w:sz="0" w:space="0" w:color="auto"/>
        <w:bottom w:val="none" w:sz="0" w:space="0" w:color="auto"/>
        <w:right w:val="none" w:sz="0" w:space="0" w:color="auto"/>
      </w:divBdr>
    </w:div>
    <w:div w:id="900285537">
      <w:bodyDiv w:val="1"/>
      <w:marLeft w:val="0"/>
      <w:marRight w:val="0"/>
      <w:marTop w:val="0"/>
      <w:marBottom w:val="0"/>
      <w:divBdr>
        <w:top w:val="none" w:sz="0" w:space="0" w:color="auto"/>
        <w:left w:val="none" w:sz="0" w:space="0" w:color="auto"/>
        <w:bottom w:val="none" w:sz="0" w:space="0" w:color="auto"/>
        <w:right w:val="none" w:sz="0" w:space="0" w:color="auto"/>
      </w:divBdr>
    </w:div>
    <w:div w:id="907809255">
      <w:bodyDiv w:val="1"/>
      <w:marLeft w:val="0"/>
      <w:marRight w:val="0"/>
      <w:marTop w:val="0"/>
      <w:marBottom w:val="0"/>
      <w:divBdr>
        <w:top w:val="none" w:sz="0" w:space="0" w:color="auto"/>
        <w:left w:val="none" w:sz="0" w:space="0" w:color="auto"/>
        <w:bottom w:val="none" w:sz="0" w:space="0" w:color="auto"/>
        <w:right w:val="none" w:sz="0" w:space="0" w:color="auto"/>
      </w:divBdr>
    </w:div>
    <w:div w:id="925191798">
      <w:bodyDiv w:val="1"/>
      <w:marLeft w:val="0"/>
      <w:marRight w:val="0"/>
      <w:marTop w:val="0"/>
      <w:marBottom w:val="0"/>
      <w:divBdr>
        <w:top w:val="none" w:sz="0" w:space="0" w:color="auto"/>
        <w:left w:val="none" w:sz="0" w:space="0" w:color="auto"/>
        <w:bottom w:val="none" w:sz="0" w:space="0" w:color="auto"/>
        <w:right w:val="none" w:sz="0" w:space="0" w:color="auto"/>
      </w:divBdr>
    </w:div>
    <w:div w:id="931284857">
      <w:bodyDiv w:val="1"/>
      <w:marLeft w:val="0"/>
      <w:marRight w:val="0"/>
      <w:marTop w:val="0"/>
      <w:marBottom w:val="0"/>
      <w:divBdr>
        <w:top w:val="none" w:sz="0" w:space="0" w:color="auto"/>
        <w:left w:val="none" w:sz="0" w:space="0" w:color="auto"/>
        <w:bottom w:val="none" w:sz="0" w:space="0" w:color="auto"/>
        <w:right w:val="none" w:sz="0" w:space="0" w:color="auto"/>
      </w:divBdr>
    </w:div>
    <w:div w:id="962082271">
      <w:bodyDiv w:val="1"/>
      <w:marLeft w:val="0"/>
      <w:marRight w:val="0"/>
      <w:marTop w:val="0"/>
      <w:marBottom w:val="0"/>
      <w:divBdr>
        <w:top w:val="none" w:sz="0" w:space="0" w:color="auto"/>
        <w:left w:val="none" w:sz="0" w:space="0" w:color="auto"/>
        <w:bottom w:val="none" w:sz="0" w:space="0" w:color="auto"/>
        <w:right w:val="none" w:sz="0" w:space="0" w:color="auto"/>
      </w:divBdr>
    </w:div>
    <w:div w:id="1040589857">
      <w:bodyDiv w:val="1"/>
      <w:marLeft w:val="0"/>
      <w:marRight w:val="0"/>
      <w:marTop w:val="0"/>
      <w:marBottom w:val="0"/>
      <w:divBdr>
        <w:top w:val="none" w:sz="0" w:space="0" w:color="auto"/>
        <w:left w:val="none" w:sz="0" w:space="0" w:color="auto"/>
        <w:bottom w:val="none" w:sz="0" w:space="0" w:color="auto"/>
        <w:right w:val="none" w:sz="0" w:space="0" w:color="auto"/>
      </w:divBdr>
    </w:div>
    <w:div w:id="1049718410">
      <w:bodyDiv w:val="1"/>
      <w:marLeft w:val="0"/>
      <w:marRight w:val="0"/>
      <w:marTop w:val="0"/>
      <w:marBottom w:val="0"/>
      <w:divBdr>
        <w:top w:val="none" w:sz="0" w:space="0" w:color="auto"/>
        <w:left w:val="none" w:sz="0" w:space="0" w:color="auto"/>
        <w:bottom w:val="none" w:sz="0" w:space="0" w:color="auto"/>
        <w:right w:val="none" w:sz="0" w:space="0" w:color="auto"/>
      </w:divBdr>
    </w:div>
    <w:div w:id="1101147530">
      <w:bodyDiv w:val="1"/>
      <w:marLeft w:val="0"/>
      <w:marRight w:val="0"/>
      <w:marTop w:val="0"/>
      <w:marBottom w:val="0"/>
      <w:divBdr>
        <w:top w:val="none" w:sz="0" w:space="0" w:color="auto"/>
        <w:left w:val="none" w:sz="0" w:space="0" w:color="auto"/>
        <w:bottom w:val="none" w:sz="0" w:space="0" w:color="auto"/>
        <w:right w:val="none" w:sz="0" w:space="0" w:color="auto"/>
      </w:divBdr>
    </w:div>
    <w:div w:id="1117990291">
      <w:bodyDiv w:val="1"/>
      <w:marLeft w:val="0"/>
      <w:marRight w:val="0"/>
      <w:marTop w:val="0"/>
      <w:marBottom w:val="0"/>
      <w:divBdr>
        <w:top w:val="none" w:sz="0" w:space="0" w:color="auto"/>
        <w:left w:val="none" w:sz="0" w:space="0" w:color="auto"/>
        <w:bottom w:val="none" w:sz="0" w:space="0" w:color="auto"/>
        <w:right w:val="none" w:sz="0" w:space="0" w:color="auto"/>
      </w:divBdr>
    </w:div>
    <w:div w:id="1131367099">
      <w:bodyDiv w:val="1"/>
      <w:marLeft w:val="0"/>
      <w:marRight w:val="0"/>
      <w:marTop w:val="0"/>
      <w:marBottom w:val="0"/>
      <w:divBdr>
        <w:top w:val="none" w:sz="0" w:space="0" w:color="auto"/>
        <w:left w:val="none" w:sz="0" w:space="0" w:color="auto"/>
        <w:bottom w:val="none" w:sz="0" w:space="0" w:color="auto"/>
        <w:right w:val="none" w:sz="0" w:space="0" w:color="auto"/>
      </w:divBdr>
    </w:div>
    <w:div w:id="1259173189">
      <w:bodyDiv w:val="1"/>
      <w:marLeft w:val="0"/>
      <w:marRight w:val="0"/>
      <w:marTop w:val="0"/>
      <w:marBottom w:val="0"/>
      <w:divBdr>
        <w:top w:val="none" w:sz="0" w:space="0" w:color="auto"/>
        <w:left w:val="none" w:sz="0" w:space="0" w:color="auto"/>
        <w:bottom w:val="none" w:sz="0" w:space="0" w:color="auto"/>
        <w:right w:val="none" w:sz="0" w:space="0" w:color="auto"/>
      </w:divBdr>
    </w:div>
    <w:div w:id="1267495775">
      <w:bodyDiv w:val="1"/>
      <w:marLeft w:val="0"/>
      <w:marRight w:val="0"/>
      <w:marTop w:val="0"/>
      <w:marBottom w:val="0"/>
      <w:divBdr>
        <w:top w:val="none" w:sz="0" w:space="0" w:color="auto"/>
        <w:left w:val="none" w:sz="0" w:space="0" w:color="auto"/>
        <w:bottom w:val="none" w:sz="0" w:space="0" w:color="auto"/>
        <w:right w:val="none" w:sz="0" w:space="0" w:color="auto"/>
      </w:divBdr>
    </w:div>
    <w:div w:id="1336498899">
      <w:bodyDiv w:val="1"/>
      <w:marLeft w:val="0"/>
      <w:marRight w:val="0"/>
      <w:marTop w:val="0"/>
      <w:marBottom w:val="0"/>
      <w:divBdr>
        <w:top w:val="none" w:sz="0" w:space="0" w:color="auto"/>
        <w:left w:val="none" w:sz="0" w:space="0" w:color="auto"/>
        <w:bottom w:val="none" w:sz="0" w:space="0" w:color="auto"/>
        <w:right w:val="none" w:sz="0" w:space="0" w:color="auto"/>
      </w:divBdr>
    </w:div>
    <w:div w:id="1338264413">
      <w:bodyDiv w:val="1"/>
      <w:marLeft w:val="0"/>
      <w:marRight w:val="0"/>
      <w:marTop w:val="0"/>
      <w:marBottom w:val="0"/>
      <w:divBdr>
        <w:top w:val="none" w:sz="0" w:space="0" w:color="auto"/>
        <w:left w:val="none" w:sz="0" w:space="0" w:color="auto"/>
        <w:bottom w:val="none" w:sz="0" w:space="0" w:color="auto"/>
        <w:right w:val="none" w:sz="0" w:space="0" w:color="auto"/>
      </w:divBdr>
    </w:div>
    <w:div w:id="1353649387">
      <w:bodyDiv w:val="1"/>
      <w:marLeft w:val="0"/>
      <w:marRight w:val="0"/>
      <w:marTop w:val="0"/>
      <w:marBottom w:val="0"/>
      <w:divBdr>
        <w:top w:val="none" w:sz="0" w:space="0" w:color="auto"/>
        <w:left w:val="none" w:sz="0" w:space="0" w:color="auto"/>
        <w:bottom w:val="none" w:sz="0" w:space="0" w:color="auto"/>
        <w:right w:val="none" w:sz="0" w:space="0" w:color="auto"/>
      </w:divBdr>
    </w:div>
    <w:div w:id="1373261134">
      <w:bodyDiv w:val="1"/>
      <w:marLeft w:val="0"/>
      <w:marRight w:val="0"/>
      <w:marTop w:val="0"/>
      <w:marBottom w:val="0"/>
      <w:divBdr>
        <w:top w:val="none" w:sz="0" w:space="0" w:color="auto"/>
        <w:left w:val="none" w:sz="0" w:space="0" w:color="auto"/>
        <w:bottom w:val="none" w:sz="0" w:space="0" w:color="auto"/>
        <w:right w:val="none" w:sz="0" w:space="0" w:color="auto"/>
      </w:divBdr>
    </w:div>
    <w:div w:id="1528832112">
      <w:bodyDiv w:val="1"/>
      <w:marLeft w:val="0"/>
      <w:marRight w:val="0"/>
      <w:marTop w:val="0"/>
      <w:marBottom w:val="0"/>
      <w:divBdr>
        <w:top w:val="none" w:sz="0" w:space="0" w:color="auto"/>
        <w:left w:val="none" w:sz="0" w:space="0" w:color="auto"/>
        <w:bottom w:val="none" w:sz="0" w:space="0" w:color="auto"/>
        <w:right w:val="none" w:sz="0" w:space="0" w:color="auto"/>
      </w:divBdr>
    </w:div>
    <w:div w:id="1545945986">
      <w:bodyDiv w:val="1"/>
      <w:marLeft w:val="0"/>
      <w:marRight w:val="0"/>
      <w:marTop w:val="0"/>
      <w:marBottom w:val="0"/>
      <w:divBdr>
        <w:top w:val="none" w:sz="0" w:space="0" w:color="auto"/>
        <w:left w:val="none" w:sz="0" w:space="0" w:color="auto"/>
        <w:bottom w:val="none" w:sz="0" w:space="0" w:color="auto"/>
        <w:right w:val="none" w:sz="0" w:space="0" w:color="auto"/>
      </w:divBdr>
    </w:div>
    <w:div w:id="1553466119">
      <w:bodyDiv w:val="1"/>
      <w:marLeft w:val="0"/>
      <w:marRight w:val="0"/>
      <w:marTop w:val="0"/>
      <w:marBottom w:val="0"/>
      <w:divBdr>
        <w:top w:val="none" w:sz="0" w:space="0" w:color="auto"/>
        <w:left w:val="none" w:sz="0" w:space="0" w:color="auto"/>
        <w:bottom w:val="none" w:sz="0" w:space="0" w:color="auto"/>
        <w:right w:val="none" w:sz="0" w:space="0" w:color="auto"/>
      </w:divBdr>
    </w:div>
    <w:div w:id="1610047048">
      <w:bodyDiv w:val="1"/>
      <w:marLeft w:val="0"/>
      <w:marRight w:val="0"/>
      <w:marTop w:val="0"/>
      <w:marBottom w:val="0"/>
      <w:divBdr>
        <w:top w:val="none" w:sz="0" w:space="0" w:color="auto"/>
        <w:left w:val="none" w:sz="0" w:space="0" w:color="auto"/>
        <w:bottom w:val="none" w:sz="0" w:space="0" w:color="auto"/>
        <w:right w:val="none" w:sz="0" w:space="0" w:color="auto"/>
      </w:divBdr>
    </w:div>
    <w:div w:id="1689911783">
      <w:bodyDiv w:val="1"/>
      <w:marLeft w:val="0"/>
      <w:marRight w:val="0"/>
      <w:marTop w:val="0"/>
      <w:marBottom w:val="0"/>
      <w:divBdr>
        <w:top w:val="none" w:sz="0" w:space="0" w:color="auto"/>
        <w:left w:val="none" w:sz="0" w:space="0" w:color="auto"/>
        <w:bottom w:val="none" w:sz="0" w:space="0" w:color="auto"/>
        <w:right w:val="none" w:sz="0" w:space="0" w:color="auto"/>
      </w:divBdr>
    </w:div>
    <w:div w:id="1704788923">
      <w:bodyDiv w:val="1"/>
      <w:marLeft w:val="0"/>
      <w:marRight w:val="0"/>
      <w:marTop w:val="0"/>
      <w:marBottom w:val="0"/>
      <w:divBdr>
        <w:top w:val="none" w:sz="0" w:space="0" w:color="auto"/>
        <w:left w:val="none" w:sz="0" w:space="0" w:color="auto"/>
        <w:bottom w:val="none" w:sz="0" w:space="0" w:color="auto"/>
        <w:right w:val="none" w:sz="0" w:space="0" w:color="auto"/>
      </w:divBdr>
    </w:div>
    <w:div w:id="1714425901">
      <w:bodyDiv w:val="1"/>
      <w:marLeft w:val="0"/>
      <w:marRight w:val="0"/>
      <w:marTop w:val="0"/>
      <w:marBottom w:val="0"/>
      <w:divBdr>
        <w:top w:val="none" w:sz="0" w:space="0" w:color="auto"/>
        <w:left w:val="none" w:sz="0" w:space="0" w:color="auto"/>
        <w:bottom w:val="none" w:sz="0" w:space="0" w:color="auto"/>
        <w:right w:val="none" w:sz="0" w:space="0" w:color="auto"/>
      </w:divBdr>
    </w:div>
    <w:div w:id="1724796103">
      <w:bodyDiv w:val="1"/>
      <w:marLeft w:val="0"/>
      <w:marRight w:val="0"/>
      <w:marTop w:val="0"/>
      <w:marBottom w:val="0"/>
      <w:divBdr>
        <w:top w:val="none" w:sz="0" w:space="0" w:color="auto"/>
        <w:left w:val="none" w:sz="0" w:space="0" w:color="auto"/>
        <w:bottom w:val="none" w:sz="0" w:space="0" w:color="auto"/>
        <w:right w:val="none" w:sz="0" w:space="0" w:color="auto"/>
      </w:divBdr>
    </w:div>
    <w:div w:id="1780367206">
      <w:bodyDiv w:val="1"/>
      <w:marLeft w:val="0"/>
      <w:marRight w:val="0"/>
      <w:marTop w:val="0"/>
      <w:marBottom w:val="0"/>
      <w:divBdr>
        <w:top w:val="none" w:sz="0" w:space="0" w:color="auto"/>
        <w:left w:val="none" w:sz="0" w:space="0" w:color="auto"/>
        <w:bottom w:val="none" w:sz="0" w:space="0" w:color="auto"/>
        <w:right w:val="none" w:sz="0" w:space="0" w:color="auto"/>
      </w:divBdr>
    </w:div>
    <w:div w:id="1884556617">
      <w:bodyDiv w:val="1"/>
      <w:marLeft w:val="0"/>
      <w:marRight w:val="0"/>
      <w:marTop w:val="0"/>
      <w:marBottom w:val="0"/>
      <w:divBdr>
        <w:top w:val="none" w:sz="0" w:space="0" w:color="auto"/>
        <w:left w:val="none" w:sz="0" w:space="0" w:color="auto"/>
        <w:bottom w:val="none" w:sz="0" w:space="0" w:color="auto"/>
        <w:right w:val="none" w:sz="0" w:space="0" w:color="auto"/>
      </w:divBdr>
    </w:div>
    <w:div w:id="1909338743">
      <w:bodyDiv w:val="1"/>
      <w:marLeft w:val="0"/>
      <w:marRight w:val="0"/>
      <w:marTop w:val="0"/>
      <w:marBottom w:val="0"/>
      <w:divBdr>
        <w:top w:val="none" w:sz="0" w:space="0" w:color="auto"/>
        <w:left w:val="none" w:sz="0" w:space="0" w:color="auto"/>
        <w:bottom w:val="none" w:sz="0" w:space="0" w:color="auto"/>
        <w:right w:val="none" w:sz="0" w:space="0" w:color="auto"/>
      </w:divBdr>
    </w:div>
    <w:div w:id="1933278347">
      <w:bodyDiv w:val="1"/>
      <w:marLeft w:val="0"/>
      <w:marRight w:val="0"/>
      <w:marTop w:val="0"/>
      <w:marBottom w:val="0"/>
      <w:divBdr>
        <w:top w:val="none" w:sz="0" w:space="0" w:color="auto"/>
        <w:left w:val="none" w:sz="0" w:space="0" w:color="auto"/>
        <w:bottom w:val="none" w:sz="0" w:space="0" w:color="auto"/>
        <w:right w:val="none" w:sz="0" w:space="0" w:color="auto"/>
      </w:divBdr>
    </w:div>
    <w:div w:id="1975672912">
      <w:bodyDiv w:val="1"/>
      <w:marLeft w:val="0"/>
      <w:marRight w:val="0"/>
      <w:marTop w:val="0"/>
      <w:marBottom w:val="0"/>
      <w:divBdr>
        <w:top w:val="none" w:sz="0" w:space="0" w:color="auto"/>
        <w:left w:val="none" w:sz="0" w:space="0" w:color="auto"/>
        <w:bottom w:val="none" w:sz="0" w:space="0" w:color="auto"/>
        <w:right w:val="none" w:sz="0" w:space="0" w:color="auto"/>
      </w:divBdr>
    </w:div>
    <w:div w:id="2010211322">
      <w:bodyDiv w:val="1"/>
      <w:marLeft w:val="0"/>
      <w:marRight w:val="0"/>
      <w:marTop w:val="0"/>
      <w:marBottom w:val="0"/>
      <w:divBdr>
        <w:top w:val="none" w:sz="0" w:space="0" w:color="auto"/>
        <w:left w:val="none" w:sz="0" w:space="0" w:color="auto"/>
        <w:bottom w:val="none" w:sz="0" w:space="0" w:color="auto"/>
        <w:right w:val="none" w:sz="0" w:space="0" w:color="auto"/>
      </w:divBdr>
    </w:div>
    <w:div w:id="2056612334">
      <w:bodyDiv w:val="1"/>
      <w:marLeft w:val="0"/>
      <w:marRight w:val="0"/>
      <w:marTop w:val="0"/>
      <w:marBottom w:val="0"/>
      <w:divBdr>
        <w:top w:val="none" w:sz="0" w:space="0" w:color="auto"/>
        <w:left w:val="none" w:sz="0" w:space="0" w:color="auto"/>
        <w:bottom w:val="none" w:sz="0" w:space="0" w:color="auto"/>
        <w:right w:val="none" w:sz="0" w:space="0" w:color="auto"/>
      </w:divBdr>
    </w:div>
    <w:div w:id="2065253064">
      <w:bodyDiv w:val="1"/>
      <w:marLeft w:val="0"/>
      <w:marRight w:val="0"/>
      <w:marTop w:val="0"/>
      <w:marBottom w:val="0"/>
      <w:divBdr>
        <w:top w:val="none" w:sz="0" w:space="0" w:color="auto"/>
        <w:left w:val="none" w:sz="0" w:space="0" w:color="auto"/>
        <w:bottom w:val="none" w:sz="0" w:space="0" w:color="auto"/>
        <w:right w:val="none" w:sz="0" w:space="0" w:color="auto"/>
      </w:divBdr>
    </w:div>
    <w:div w:id="2091392883">
      <w:bodyDiv w:val="1"/>
      <w:marLeft w:val="0"/>
      <w:marRight w:val="0"/>
      <w:marTop w:val="0"/>
      <w:marBottom w:val="0"/>
      <w:divBdr>
        <w:top w:val="none" w:sz="0" w:space="0" w:color="auto"/>
        <w:left w:val="none" w:sz="0" w:space="0" w:color="auto"/>
        <w:bottom w:val="none" w:sz="0" w:space="0" w:color="auto"/>
        <w:right w:val="none" w:sz="0" w:space="0" w:color="auto"/>
      </w:divBdr>
    </w:div>
    <w:div w:id="21312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CFAB1-8CE4-4E18-B833-219422CB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Born</dc:creator>
  <cp:lastModifiedBy>Born, Richard T.</cp:lastModifiedBy>
  <cp:revision>3</cp:revision>
  <cp:lastPrinted>2016-10-12T21:28:00Z</cp:lastPrinted>
  <dcterms:created xsi:type="dcterms:W3CDTF">2020-09-17T13:59:00Z</dcterms:created>
  <dcterms:modified xsi:type="dcterms:W3CDTF">2020-09-17T14:02:00Z</dcterms:modified>
</cp:coreProperties>
</file>