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07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</w:t>
      </w:r>
      <w:r>
        <w:rPr>
          <w:rFonts w:hint="default"/>
          <w:lang w:val="en-US" w:eastAsia="zh-CN"/>
        </w:rPr>
        <w:t>Task(</w:t>
      </w:r>
      <w:r>
        <w:rPr>
          <w:rFonts w:hint="eastAsia"/>
          <w:lang w:val="en-US" w:eastAsia="zh-CN"/>
        </w:rPr>
        <w:t>模拟中信银行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应用UI界面需求说明</w:t>
      </w:r>
    </w:p>
    <w:p w14:paraId="3BD6DC6C">
      <w:pPr>
        <w:rPr>
          <w:rFonts w:hint="eastAsia"/>
          <w:lang w:val="en-US" w:eastAsia="zh-CN"/>
        </w:rPr>
      </w:pPr>
    </w:p>
    <w:p w14:paraId="29F48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启动流程：应用冷启动进入到主页Main</w:t>
      </w:r>
      <w:r>
        <w:rPr>
          <w:rFonts w:hint="default"/>
          <w:lang w:val="en-US" w:eastAsia="zh-CN"/>
        </w:rPr>
        <w:t>Activity</w:t>
      </w:r>
      <w:r>
        <w:rPr>
          <w:rFonts w:hint="eastAsia"/>
          <w:lang w:val="en-US" w:eastAsia="zh-CN"/>
        </w:rPr>
        <w:t>，检查登录态，如果没有登录需要打开登录界面进行登录，只有登录后才能看到主页内容</w:t>
      </w:r>
    </w:p>
    <w:p w14:paraId="616D7FFD">
      <w:pPr>
        <w:rPr>
          <w:rFonts w:hint="default"/>
          <w:lang w:val="en-US" w:eastAsia="zh-CN"/>
        </w:rPr>
      </w:pPr>
    </w:p>
    <w:p w14:paraId="11D48C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架构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要求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：采用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Jetpack Compose + MVVM (UDF单向数据流)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架构模式</w:t>
      </w:r>
    </w:p>
    <w:p w14:paraId="33DE6F08">
      <w:pPr>
        <w:rPr>
          <w:rFonts w:hint="default"/>
          <w:lang w:val="en-US" w:eastAsia="zh-CN"/>
        </w:rPr>
      </w:pPr>
    </w:p>
    <w:p w14:paraId="258BF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主页UI界面原型路径：根目录/prd</w:t>
      </w:r>
    </w:p>
    <w:p w14:paraId="158BD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主页目前有四个tab子页面：Home 首页、Wealth 财富、Member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会员、Me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我的 4个tab。</w:t>
      </w:r>
    </w:p>
    <w:p w14:paraId="4E8E002F">
      <w:pPr>
        <w:rPr>
          <w:rFonts w:hint="default"/>
          <w:lang w:val="en-US" w:eastAsia="zh-CN"/>
        </w:rPr>
      </w:pPr>
    </w:p>
    <w:p w14:paraId="7CB92282">
      <w:pPr>
        <w:pStyle w:val="2"/>
        <w:bidi w:val="0"/>
        <w:rPr>
          <w:rFonts w:hint="default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</w:rPr>
        <w:t>Tab页深度拆解与组件映射</w:t>
      </w:r>
    </w:p>
    <w:p w14:paraId="1C00924B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1</w:t>
      </w:r>
      <w:r>
        <w:t xml:space="preserve">. 首页 (Home Tab) </w:t>
      </w:r>
    </w:p>
    <w:p w14:paraId="178D945D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顶部全局导航栏 (</w:t>
      </w:r>
      <w:r>
        <w:rPr>
          <w:rStyle w:val="7"/>
          <w:b/>
          <w:bCs/>
        </w:rPr>
        <w:t>HomeTopBar</w:t>
      </w:r>
      <w:r>
        <w:rPr>
          <w:b/>
          <w:bCs/>
        </w:rPr>
        <w:t>)</w:t>
      </w:r>
      <w:r>
        <w:t xml:space="preserve">：包含扫一扫、全局搜索框（带默认提示词）、消息通知（含红点）、客服/个人头像入口。 </w:t>
      </w:r>
    </w:p>
    <w:p w14:paraId="34089068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资产/快捷服务金刚区 (</w:t>
      </w:r>
      <w:r>
        <w:rPr>
          <w:rStyle w:val="7"/>
          <w:b/>
          <w:bCs/>
        </w:rPr>
        <w:t>QuickActionGrid</w:t>
      </w:r>
      <w:r>
        <w:rPr>
          <w:b/>
          <w:bCs/>
        </w:rPr>
        <w:t>)</w:t>
      </w:r>
      <w:r>
        <w:t xml:space="preserve">：位于顶部，承载资产总览、账户、转账、信用卡等核心高频功能。 </w:t>
      </w:r>
    </w:p>
    <w:p w14:paraId="799F7F7A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营销与通告轮播 (</w:t>
      </w:r>
      <w:r>
        <w:rPr>
          <w:rStyle w:val="7"/>
          <w:b/>
          <w:bCs/>
        </w:rPr>
        <w:t>BannerCarousel</w:t>
      </w:r>
      <w:r>
        <w:rPr>
          <w:b/>
          <w:bCs/>
        </w:rPr>
        <w:t>)</w:t>
      </w:r>
      <w:r>
        <w:t xml:space="preserve">：顶部运营位海报轮播。 </w:t>
      </w:r>
    </w:p>
    <w:p w14:paraId="16E846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财富二级导航宫格 (</w:t>
      </w:r>
      <w:r>
        <w:rPr>
          <w:rStyle w:val="7"/>
          <w:b/>
          <w:bCs/>
        </w:rPr>
        <w:t>WealthCategoryGrid</w:t>
      </w:r>
      <w:r>
        <w:rPr>
          <w:b/>
          <w:bCs/>
        </w:rPr>
        <w:t>)</w:t>
      </w:r>
      <w:r>
        <w:t xml:space="preserve">：独立拆分出的第二块宫格区域（理财、基金、智慧存款、私募、结售汇及“全部”等），专注文财导购。 </w:t>
      </w:r>
    </w:p>
    <w:p w14:paraId="571949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快捷子菜单横条 (</w:t>
      </w:r>
      <w:r>
        <w:rPr>
          <w:rStyle w:val="7"/>
          <w:b/>
          <w:bCs/>
        </w:rPr>
        <w:t>SubServiceBar</w:t>
      </w:r>
      <w:r>
        <w:rPr>
          <w:b/>
          <w:bCs/>
        </w:rPr>
        <w:t>)</w:t>
      </w:r>
      <w:r>
        <w:t xml:space="preserve">：出国金融、我的订单、交易明细等横向滚动导航。 </w:t>
      </w:r>
    </w:p>
    <w:p w14:paraId="14597D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财富精选与特色产品流 (</w:t>
      </w:r>
      <w:r>
        <w:rPr>
          <w:rStyle w:val="7"/>
          <w:b/>
          <w:bCs/>
        </w:rPr>
        <w:t>ProductCardList</w:t>
      </w:r>
      <w:r>
        <w:rPr>
          <w:b/>
          <w:bCs/>
        </w:rPr>
        <w:t>)</w:t>
      </w:r>
      <w:r>
        <w:t xml:space="preserve">：卡片式展示精选理财、固收产品，支持动态收益率标红与风险标签。 </w:t>
      </w:r>
    </w:p>
    <w:p w14:paraId="6D8AD735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底部固定UI (</w:t>
      </w:r>
      <w:r>
        <w:rPr>
          <w:rStyle w:val="7"/>
          <w:b/>
          <w:bCs/>
        </w:rPr>
        <w:t>AppFooterLogo</w:t>
      </w:r>
      <w:r>
        <w:rPr>
          <w:b/>
          <w:bCs/>
        </w:rPr>
        <w:t>)</w:t>
      </w:r>
      <w:r>
        <w:t xml:space="preserve">：展示中信银行标准Logo及“让财富有温度”标语。 </w:t>
      </w:r>
    </w:p>
    <w:p w14:paraId="40B2B490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eastAsia="zh-CN"/>
        </w:rPr>
        <w:t>.</w:t>
      </w:r>
      <w:r>
        <w:t xml:space="preserve">2. 财富页 (Wealth Tab) </w:t>
      </w:r>
    </w:p>
    <w:p w14:paraId="31EF6D59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总资产摘要栏 (</w:t>
      </w:r>
      <w:r>
        <w:rPr>
          <w:rStyle w:val="7"/>
          <w:b/>
          <w:bCs/>
        </w:rPr>
        <w:t>AssetSummaryHeader</w:t>
      </w:r>
      <w:r>
        <w:rPr>
          <w:b/>
          <w:bCs/>
        </w:rPr>
        <w:t>)</w:t>
      </w:r>
      <w:r>
        <w:t xml:space="preserve">：顶部展示总资产与最新收益，配备显隐切换（小眼睛图标）动效。 </w:t>
      </w:r>
    </w:p>
    <w:p w14:paraId="2F4E66FC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市场解读轮播条 (</w:t>
      </w:r>
      <w:r>
        <w:rPr>
          <w:rStyle w:val="7"/>
          <w:b/>
          <w:bCs/>
        </w:rPr>
        <w:t>MarketTickerCarousel</w:t>
      </w:r>
      <w:r>
        <w:rPr>
          <w:b/>
          <w:bCs/>
        </w:rPr>
        <w:t>)</w:t>
      </w:r>
      <w:r>
        <w:t xml:space="preserve">：单条循环轮播效果，每5秒向上滑动切换一条市场行情与解读。 </w:t>
      </w:r>
    </w:p>
    <w:p w14:paraId="3152708F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财富一级功能金刚区 (</w:t>
      </w:r>
      <w:r>
        <w:rPr>
          <w:rStyle w:val="7"/>
          <w:b/>
          <w:bCs/>
        </w:rPr>
        <w:t>WealthServiceGrid</w:t>
      </w:r>
      <w:r>
        <w:rPr>
          <w:b/>
          <w:bCs/>
        </w:rPr>
        <w:t>)</w:t>
      </w:r>
      <w:r>
        <w:t xml:space="preserve">：存款、理财、基金、私募、保险、零钱+等快捷入口。 </w:t>
      </w:r>
    </w:p>
    <w:p w14:paraId="5319A54F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品类Tab过滤切换器 (</w:t>
      </w:r>
      <w:r>
        <w:rPr>
          <w:rStyle w:val="7"/>
          <w:b/>
          <w:bCs/>
        </w:rPr>
        <w:t>CategoryTabRow</w:t>
      </w:r>
      <w:r>
        <w:rPr>
          <w:b/>
          <w:bCs/>
        </w:rPr>
        <w:t>)</w:t>
      </w:r>
      <w:r>
        <w:t xml:space="preserve">：支持“优选基金”、“热门基金”、“信恋家族”、“随心存”等子分类快速切换。 </w:t>
      </w:r>
    </w:p>
    <w:p w14:paraId="317DC6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多维产品与资讯专区</w:t>
      </w:r>
      <w:r>
        <w:t xml:space="preserve">：如“安稳纯债专区”、“理财热榜”、“现金管理”等模块。 </w:t>
      </w:r>
    </w:p>
    <w:p w14:paraId="0173F802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底部固定UI (</w:t>
      </w:r>
      <w:r>
        <w:rPr>
          <w:rStyle w:val="7"/>
          <w:b/>
          <w:bCs/>
        </w:rPr>
        <w:t>AppFooterLogo</w:t>
      </w:r>
      <w:r>
        <w:rPr>
          <w:b/>
          <w:bCs/>
        </w:rPr>
        <w:t>)</w:t>
      </w:r>
      <w:r>
        <w:t xml:space="preserve">：展示中信银行标准Logo及标语。 </w:t>
      </w:r>
    </w:p>
    <w:p w14:paraId="1F8253BA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eastAsia="zh-CN"/>
        </w:rPr>
        <w:t>.</w:t>
      </w:r>
      <w:r>
        <w:t xml:space="preserve">3. 会员页 (Member Tab) </w:t>
      </w:r>
    </w:p>
    <w:p w14:paraId="5A06F980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顶部VIP身份认证卡片 (</w:t>
      </w:r>
      <w:r>
        <w:rPr>
          <w:rStyle w:val="7"/>
          <w:b/>
          <w:bCs/>
        </w:rPr>
        <w:t>VipProfileCard</w:t>
      </w:r>
      <w:r>
        <w:rPr>
          <w:b/>
          <w:bCs/>
        </w:rPr>
        <w:t>)</w:t>
      </w:r>
      <w:r>
        <w:t xml:space="preserve">：展示会员等级（如 R5 中信红会员）、当前金融资产进度条及权益入口。 </w:t>
      </w:r>
    </w:p>
    <w:p w14:paraId="259E0929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核心权益尊享宫格 (</w:t>
      </w:r>
      <w:r>
        <w:rPr>
          <w:rStyle w:val="7"/>
          <w:b/>
          <w:bCs/>
        </w:rPr>
        <w:t>MemberBenefitsGrid</w:t>
      </w:r>
      <w:r>
        <w:rPr>
          <w:b/>
          <w:bCs/>
        </w:rPr>
        <w:t>)</w:t>
      </w:r>
      <w:r>
        <w:t xml:space="preserve">：能量值、生日礼、幸福咖啡、信用卡权益等横向/网格展示。 </w:t>
      </w:r>
    </w:p>
    <w:p w14:paraId="28D59170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任务与签到卡片 (</w:t>
      </w:r>
      <w:r>
        <w:rPr>
          <w:rStyle w:val="7"/>
          <w:b/>
          <w:bCs/>
        </w:rPr>
        <w:t>InteractiveTaskCard</w:t>
      </w:r>
      <w:r>
        <w:rPr>
          <w:b/>
          <w:bCs/>
        </w:rPr>
        <w:t>)</w:t>
      </w:r>
      <w:r>
        <w:t xml:space="preserve">：连续签到赢好礼、任务进度追踪等强交互组件。 </w:t>
      </w:r>
    </w:p>
    <w:p w14:paraId="33C184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能量值乐园专区</w:t>
      </w:r>
      <w:r>
        <w:t xml:space="preserve">：抽奖、好礼兑换网格瀑布流。 </w:t>
      </w:r>
    </w:p>
    <w:p w14:paraId="7E991A69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底部固定UI (</w:t>
      </w:r>
      <w:r>
        <w:rPr>
          <w:rStyle w:val="7"/>
          <w:b/>
          <w:bCs/>
        </w:rPr>
        <w:t>AppFooterLogo</w:t>
      </w:r>
      <w:r>
        <w:rPr>
          <w:b/>
          <w:bCs/>
        </w:rPr>
        <w:t>)</w:t>
      </w:r>
      <w:r>
        <w:t xml:space="preserve">：展示中信银行标准Logo及标语。 </w:t>
      </w:r>
    </w:p>
    <w:p w14:paraId="57F89CF0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eastAsia="zh-CN"/>
        </w:rPr>
        <w:t>.</w:t>
      </w:r>
      <w:r>
        <w:t xml:space="preserve">4. 我的页 (Me Tab) </w:t>
      </w:r>
    </w:p>
    <w:p w14:paraId="23DBB71E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顶部个人名片与状态栏 (</w:t>
      </w:r>
      <w:r>
        <w:rPr>
          <w:rStyle w:val="7"/>
          <w:b/>
          <w:bCs/>
        </w:rPr>
        <w:t>UserCardHeader</w:t>
      </w:r>
      <w:r>
        <w:rPr>
          <w:b/>
          <w:bCs/>
        </w:rPr>
        <w:t>)</w:t>
      </w:r>
      <w:r>
        <w:t xml:space="preserve">：用户昵称、碳足迹标签、快捷统计（银行卡、待办、卡券、积分、能量值）。 </w:t>
      </w:r>
    </w:p>
    <w:p w14:paraId="1972668B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r>
        <w:rPr>
          <w:b/>
          <w:bCs/>
        </w:rPr>
        <w:t>资产与收支概览模块 (</w:t>
      </w:r>
      <w:r>
        <w:rPr>
          <w:rStyle w:val="7"/>
          <w:b/>
          <w:bCs/>
        </w:rPr>
        <w:t>AssetAndIncomeCard</w:t>
      </w:r>
      <w:r>
        <w:rPr>
          <w:b/>
          <w:bCs/>
        </w:rPr>
        <w:t>)</w:t>
      </w:r>
      <w:r>
        <w:t xml:space="preserve">：本月收支、信用卡账单、借款额度卡片，支持敏感数据一键打码。 </w:t>
      </w:r>
    </w:p>
    <w:p w14:paraId="197A1F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业务服务聚合面板 (</w:t>
      </w:r>
      <w:r>
        <w:rPr>
          <w:rStyle w:val="7"/>
          <w:b/>
          <w:bCs/>
        </w:rPr>
        <w:t>ServiceGridSection</w:t>
      </w:r>
      <w:r>
        <w:rPr>
          <w:b/>
          <w:bCs/>
        </w:rPr>
        <w:t>)</w:t>
      </w:r>
      <w:r>
        <w:t xml:space="preserve">：分为市民服务（缴费、医保、社保、公积金）与我的业务（证明、隐私授权、订单、风险评估）。 </w:t>
      </w:r>
    </w:p>
    <w:p w14:paraId="295022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安全与外部绑定面板 (</w:t>
      </w:r>
      <w:r>
        <w:rPr>
          <w:rStyle w:val="7"/>
          <w:b/>
          <w:bCs/>
        </w:rPr>
        <w:t>SecurityAndBindingCard</w:t>
      </w:r>
      <w:r>
        <w:rPr>
          <w:b/>
          <w:bCs/>
        </w:rPr>
        <w:t>)</w:t>
      </w:r>
      <w:r>
        <w:t xml:space="preserve">：快捷转账账户、三方支付绑定状态（微信、支付宝、抖音）与安全哨兵状态。 </w:t>
      </w:r>
    </w:p>
    <w:p w14:paraId="52BFC38A">
      <w:pPr>
        <w:pStyle w:val="4"/>
        <w:keepNext w:val="0"/>
        <w:keepLines w:val="0"/>
        <w:widowControl/>
        <w:suppressLineNumbers w:val="0"/>
      </w:pP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[</w:t>
      </w:r>
      <w:r>
        <w:rPr>
          <w:rFonts w:hint="eastAsia"/>
          <w:b w:val="0"/>
          <w:bCs w:val="0"/>
          <w:color w:val="FF0000"/>
          <w:sz w:val="22"/>
          <w:szCs w:val="22"/>
          <w:lang w:val="en-US" w:eastAsia="zh-CN"/>
        </w:rPr>
        <w:t>必须</w:t>
      </w:r>
      <w:r>
        <w:rPr>
          <w:rFonts w:hint="default"/>
          <w:b w:val="0"/>
          <w:bCs w:val="0"/>
          <w:color w:val="FF0000"/>
          <w:sz w:val="22"/>
          <w:szCs w:val="22"/>
          <w:lang w:val="en-US"/>
        </w:rPr>
        <w:t>]</w:t>
      </w:r>
      <w:bookmarkStart w:id="0" w:name="_GoBack"/>
      <w:bookmarkEnd w:id="0"/>
      <w:r>
        <w:rPr>
          <w:b/>
          <w:bCs/>
        </w:rPr>
        <w:t>底部固定UI (</w:t>
      </w:r>
      <w:r>
        <w:rPr>
          <w:rStyle w:val="7"/>
          <w:b/>
          <w:bCs/>
        </w:rPr>
        <w:t>AppFooterLogo</w:t>
      </w:r>
      <w:r>
        <w:rPr>
          <w:b/>
          <w:bCs/>
        </w:rPr>
        <w:t>)</w:t>
      </w:r>
      <w:r>
        <w:t xml:space="preserve">：展示中信银行标准Logo及标语。 </w:t>
      </w:r>
    </w:p>
    <w:p w14:paraId="7CBB17C2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二、</w:t>
      </w:r>
      <w:r>
        <w:t xml:space="preserve">UI组件封装与复用设计矩阵 </w:t>
      </w:r>
    </w:p>
    <w:p w14:paraId="547CC6F3">
      <w:pPr>
        <w:pStyle w:val="4"/>
        <w:keepNext w:val="0"/>
        <w:keepLines w:val="0"/>
        <w:widowControl/>
        <w:suppressLineNumbers w:val="0"/>
      </w:pPr>
      <w:r>
        <w:t xml:space="preserve">从多Tab页面的布局一致性与复用性出发，将UI元素沉淀为以下高复用原子/业务组件：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9"/>
        <w:gridCol w:w="2273"/>
        <w:gridCol w:w="3425"/>
        <w:gridCol w:w="1510"/>
      </w:tblGrid>
      <w:tr w14:paraId="68394FC0">
        <w:trPr>
          <w:tblCellSpacing w:w="15" w:type="dxa"/>
        </w:trPr>
        <w:tc>
          <w:tcPr>
            <w:tcW w:w="824" w:type="dxa"/>
            <w:shd w:val="clear"/>
            <w:vAlign w:val="center"/>
          </w:tcPr>
          <w:p w14:paraId="3FD6B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2243" w:type="dxa"/>
            <w:shd w:val="clear"/>
            <w:vAlign w:val="center"/>
          </w:tcPr>
          <w:p w14:paraId="55B34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英文标识</w:t>
            </w:r>
          </w:p>
        </w:tc>
        <w:tc>
          <w:tcPr>
            <w:tcW w:w="3395" w:type="dxa"/>
            <w:shd w:val="clear"/>
            <w:vAlign w:val="center"/>
          </w:tcPr>
          <w:p w14:paraId="62201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UI布局与效果说明</w:t>
            </w:r>
          </w:p>
        </w:tc>
        <w:tc>
          <w:tcPr>
            <w:tcW w:w="1465" w:type="dxa"/>
            <w:shd w:val="clear"/>
            <w:vAlign w:val="center"/>
          </w:tcPr>
          <w:p w14:paraId="1A0D9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多Tab复用场景</w:t>
            </w:r>
          </w:p>
        </w:tc>
      </w:tr>
      <w:tr w14:paraId="32D28360">
        <w:trPr>
          <w:tblCellSpacing w:w="15" w:type="dxa"/>
        </w:trPr>
        <w:tc>
          <w:tcPr>
            <w:tcW w:w="824" w:type="dxa"/>
            <w:shd w:val="clear"/>
            <w:vAlign w:val="center"/>
          </w:tcPr>
          <w:p w14:paraId="1C764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底部品牌Logo组件</w:t>
            </w:r>
          </w:p>
        </w:tc>
        <w:tc>
          <w:tcPr>
            <w:tcW w:w="2243" w:type="dxa"/>
            <w:shd w:val="clear"/>
            <w:vAlign w:val="center"/>
          </w:tcPr>
          <w:p w14:paraId="5B088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AppFooterLogo</w:t>
            </w:r>
          </w:p>
        </w:tc>
        <w:tc>
          <w:tcPr>
            <w:tcW w:w="3395" w:type="dxa"/>
            <w:shd w:val="clear"/>
            <w:vAlign w:val="center"/>
          </w:tcPr>
          <w:p w14:paraId="13ED4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居中布局，包含中信银行行标、英文全称及“让财富有温度”品牌标语，自带上下边距。 </w:t>
            </w:r>
          </w:p>
        </w:tc>
        <w:tc>
          <w:tcPr>
            <w:tcW w:w="1465" w:type="dxa"/>
            <w:shd w:val="clear"/>
            <w:vAlign w:val="center"/>
          </w:tcPr>
          <w:p w14:paraId="187E6FED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四大Tab页面底部通用</w:t>
            </w:r>
          </w:p>
        </w:tc>
      </w:tr>
      <w:tr w14:paraId="7D1DF281">
        <w:trPr>
          <w:tblCellSpacing w:w="15" w:type="dxa"/>
        </w:trPr>
        <w:tc>
          <w:tcPr>
            <w:tcW w:w="824" w:type="dxa"/>
            <w:shd w:val="clear"/>
            <w:vAlign w:val="center"/>
          </w:tcPr>
          <w:p w14:paraId="06DD2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标准宫格菜单</w:t>
            </w:r>
          </w:p>
        </w:tc>
        <w:tc>
          <w:tcPr>
            <w:tcW w:w="2243" w:type="dxa"/>
            <w:shd w:val="clear"/>
            <w:vAlign w:val="center"/>
          </w:tcPr>
          <w:p w14:paraId="2CD65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StandardGridMenu</w:t>
            </w:r>
          </w:p>
        </w:tc>
        <w:tc>
          <w:tcPr>
            <w:tcW w:w="3395" w:type="dxa"/>
            <w:shd w:val="clear"/>
            <w:vAlign w:val="center"/>
          </w:tcPr>
          <w:p w14:paraId="5BE61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支持动态配置行列数（如 4x2 或 5x2）、图标、文案、角标（“热”、“火爆”）。 </w:t>
            </w:r>
          </w:p>
        </w:tc>
        <w:tc>
          <w:tcPr>
            <w:tcW w:w="1465" w:type="dxa"/>
            <w:shd w:val="clear"/>
            <w:vAlign w:val="center"/>
          </w:tcPr>
          <w:p w14:paraId="665E88CF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首页、财富页、会员页、我的页金刚区 </w:t>
            </w:r>
          </w:p>
        </w:tc>
      </w:tr>
      <w:tr w14:paraId="507D9183">
        <w:trPr>
          <w:tblCellSpacing w:w="15" w:type="dxa"/>
        </w:trPr>
        <w:tc>
          <w:tcPr>
            <w:tcW w:w="824" w:type="dxa"/>
            <w:shd w:val="clear"/>
            <w:vAlign w:val="center"/>
          </w:tcPr>
          <w:p w14:paraId="5AAEB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市场解读轮播条</w:t>
            </w:r>
          </w:p>
        </w:tc>
        <w:tc>
          <w:tcPr>
            <w:tcW w:w="2243" w:type="dxa"/>
            <w:shd w:val="clear"/>
            <w:vAlign w:val="center"/>
          </w:tcPr>
          <w:p w14:paraId="6F8FF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MarketTickerCarousel</w:t>
            </w:r>
          </w:p>
        </w:tc>
        <w:tc>
          <w:tcPr>
            <w:tcW w:w="3395" w:type="dxa"/>
            <w:shd w:val="clear"/>
            <w:vAlign w:val="center"/>
          </w:tcPr>
          <w:p w14:paraId="2FB01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单行高度约束，支持垂直方向（向上滑动）的自动翻页动画（5秒间隔）。 </w:t>
            </w:r>
          </w:p>
        </w:tc>
        <w:tc>
          <w:tcPr>
            <w:tcW w:w="1465" w:type="dxa"/>
            <w:shd w:val="clear"/>
            <w:vAlign w:val="center"/>
          </w:tcPr>
          <w:p w14:paraId="47DC765A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首页通告栏、财富页市场解读栏 </w:t>
            </w:r>
          </w:p>
        </w:tc>
      </w:tr>
      <w:tr w14:paraId="55DE0895">
        <w:trPr>
          <w:tblCellSpacing w:w="15" w:type="dxa"/>
        </w:trPr>
        <w:tc>
          <w:tcPr>
            <w:tcW w:w="824" w:type="dxa"/>
            <w:shd w:val="clear"/>
            <w:vAlign w:val="center"/>
          </w:tcPr>
          <w:p w14:paraId="0F082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通用资产隐私卡片</w:t>
            </w:r>
          </w:p>
        </w:tc>
        <w:tc>
          <w:tcPr>
            <w:tcW w:w="2243" w:type="dxa"/>
            <w:shd w:val="clear"/>
            <w:vAlign w:val="center"/>
          </w:tcPr>
          <w:p w14:paraId="1CFFD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AssetPrivacyCard</w:t>
            </w:r>
          </w:p>
        </w:tc>
        <w:tc>
          <w:tcPr>
            <w:tcW w:w="3395" w:type="dxa"/>
            <w:shd w:val="clear"/>
            <w:vAlign w:val="center"/>
          </w:tcPr>
          <w:p w14:paraId="23B8D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统一处理总资产、收益数字展示，集成全局隐私开关（一键打码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******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）。 </w:t>
            </w:r>
          </w:p>
        </w:tc>
        <w:tc>
          <w:tcPr>
            <w:tcW w:w="1465" w:type="dxa"/>
            <w:shd w:val="clear"/>
            <w:vAlign w:val="center"/>
          </w:tcPr>
          <w:p w14:paraId="361232E8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首页、财富页、我的页资产总览 </w:t>
            </w:r>
          </w:p>
        </w:tc>
      </w:tr>
      <w:tr w14:paraId="5B285A0F">
        <w:trPr>
          <w:tblCellSpacing w:w="15" w:type="dxa"/>
        </w:trPr>
        <w:tc>
          <w:tcPr>
            <w:tcW w:w="824" w:type="dxa"/>
            <w:shd w:val="clear"/>
            <w:vAlign w:val="center"/>
          </w:tcPr>
          <w:p w14:paraId="322F3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标准通栏标题</w:t>
            </w:r>
          </w:p>
        </w:tc>
        <w:tc>
          <w:tcPr>
            <w:tcW w:w="2243" w:type="dxa"/>
            <w:shd w:val="clear"/>
            <w:vAlign w:val="center"/>
          </w:tcPr>
          <w:p w14:paraId="1CBB5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SectionHeader</w:t>
            </w:r>
          </w:p>
        </w:tc>
        <w:tc>
          <w:tcPr>
            <w:tcW w:w="3395" w:type="dxa"/>
            <w:shd w:val="clear"/>
            <w:vAlign w:val="center"/>
          </w:tcPr>
          <w:p w14:paraId="3B98C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统一左侧“主标题/副标题”与右侧“更多/跳转箭头”的Flex布局样式。 </w:t>
            </w:r>
          </w:p>
        </w:tc>
        <w:tc>
          <w:tcPr>
            <w:tcW w:w="1465" w:type="dxa"/>
            <w:shd w:val="clear"/>
            <w:vAlign w:val="center"/>
          </w:tcPr>
          <w:p w14:paraId="7E6E53E2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各Tab页面的模块分隔标题 </w:t>
            </w:r>
          </w:p>
        </w:tc>
      </w:tr>
      <w:tr w14:paraId="17B24CFC">
        <w:trPr>
          <w:tblCellSpacing w:w="15" w:type="dxa"/>
        </w:trPr>
        <w:tc>
          <w:tcPr>
            <w:tcW w:w="824" w:type="dxa"/>
            <w:shd w:val="clear"/>
            <w:vAlign w:val="center"/>
          </w:tcPr>
          <w:p w14:paraId="730F9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金融产品卡片</w:t>
            </w:r>
          </w:p>
        </w:tc>
        <w:tc>
          <w:tcPr>
            <w:tcW w:w="2243" w:type="dxa"/>
            <w:shd w:val="clear"/>
            <w:vAlign w:val="center"/>
          </w:tcPr>
          <w:p w14:paraId="560D6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FinancialProductCard</w:t>
            </w:r>
          </w:p>
        </w:tc>
        <w:tc>
          <w:tcPr>
            <w:tcW w:w="3395" w:type="dxa"/>
            <w:shd w:val="clear"/>
            <w:vAlign w:val="center"/>
          </w:tcPr>
          <w:p w14:paraId="24512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包含大字号彩色收益率、期限、起购额、风险等级标签与代销角标。 </w:t>
            </w:r>
          </w:p>
        </w:tc>
        <w:tc>
          <w:tcPr>
            <w:tcW w:w="1465" w:type="dxa"/>
            <w:shd w:val="clear"/>
            <w:vAlign w:val="center"/>
          </w:tcPr>
          <w:p w14:paraId="232A3318"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首页财富精选、财富页固收专区 </w:t>
            </w:r>
          </w:p>
        </w:tc>
      </w:tr>
    </w:tbl>
    <w:p w14:paraId="254A202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92BF715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三、</w:t>
      </w:r>
      <w:r>
        <w:t>全局状态与多Tab交互处理</w:t>
      </w:r>
    </w:p>
    <w:p w14:paraId="08A7B90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eastAsia"/>
          <w:b/>
          <w:bCs/>
          <w:lang w:val="en-US" w:eastAsia="zh-CN"/>
        </w:rPr>
        <w:t xml:space="preserve">3.1 </w:t>
      </w:r>
      <w:r>
        <w:rPr>
          <w:b/>
          <w:bCs/>
        </w:rPr>
        <w:t>隐私状态全局同步 (</w:t>
      </w:r>
      <w:r>
        <w:rPr>
          <w:rStyle w:val="7"/>
          <w:b/>
          <w:bCs/>
        </w:rPr>
        <w:t>AppGlobalState</w:t>
      </w:r>
      <w:r>
        <w:rPr>
          <w:b/>
          <w:bCs/>
        </w:rPr>
        <w:t>)</w:t>
      </w:r>
      <w:r>
        <w:t>：</w:t>
      </w:r>
    </w:p>
    <w:p w14:paraId="3802634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</w:pPr>
      <w:r>
        <w:t>资产显隐状态（打码切换）由顶层状态管理统一托管。当用户在任意页面点击小眼睛图标时，全Tab所有涉及资产数值的组件自动触发重组。</w:t>
      </w:r>
    </w:p>
    <w:p w14:paraId="499FBAF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eastAsia"/>
          <w:b/>
          <w:bCs/>
          <w:lang w:val="en-US" w:eastAsia="zh-CN"/>
        </w:rPr>
        <w:t xml:space="preserve">3.2 </w:t>
      </w:r>
      <w:r>
        <w:rPr>
          <w:b/>
          <w:bCs/>
        </w:rPr>
        <w:t>底部Logo规范化处理</w:t>
      </w:r>
      <w:r>
        <w:t>：</w:t>
      </w:r>
    </w:p>
    <w:p w14:paraId="2E676D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</w:pPr>
      <w:r>
        <w:t xml:space="preserve">在各个Tab的 </w:t>
      </w:r>
      <w:r>
        <w:rPr>
          <w:rStyle w:val="7"/>
        </w:rPr>
        <w:t>LazyColumn</w:t>
      </w:r>
      <w:r>
        <w:t xml:space="preserve"> 滚动列表最底部，统一追加 </w:t>
      </w:r>
      <w:r>
        <w:rPr>
          <w:rStyle w:val="7"/>
        </w:rPr>
        <w:t>AppFooterLogo()</w:t>
      </w:r>
      <w:r>
        <w:t xml:space="preserve"> 组件，确保在长页面滚动到底部时展现规范的品牌收尾。</w:t>
      </w:r>
    </w:p>
    <w:p w14:paraId="2462FE9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eastAsia"/>
          <w:b/>
          <w:bCs/>
          <w:lang w:val="en-US" w:eastAsia="zh-CN"/>
        </w:rPr>
        <w:t xml:space="preserve">3.3 </w:t>
      </w:r>
      <w:r>
        <w:rPr>
          <w:b/>
          <w:bCs/>
        </w:rPr>
        <w:t>沉浸式列表与滚动优化</w:t>
      </w:r>
      <w:r>
        <w:t>：</w:t>
      </w:r>
    </w:p>
    <w:p w14:paraId="2479B7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  <w:lang w:val="en-US" w:eastAsia="zh-CN"/>
        </w:rPr>
      </w:pPr>
      <w:r>
        <w:t xml:space="preserve">各Tab独立维护 </w:t>
      </w:r>
      <w:r>
        <w:rPr>
          <w:rStyle w:val="7"/>
        </w:rPr>
        <w:t>LazyListState</w:t>
      </w:r>
      <w:r>
        <w:t xml:space="preserve">，在用户进行Tab切换时通过 </w:t>
      </w:r>
      <w:r>
        <w:rPr>
          <w:rStyle w:val="7"/>
        </w:rPr>
        <w:t>rememberLazyListState</w:t>
      </w:r>
      <w:r>
        <w:t xml:space="preserve"> 记录并保持滚动位置，提升多Tab切换的流畅度。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7FA36"/>
    <w:rsid w:val="0EBD4A97"/>
    <w:rsid w:val="0EFA0F4F"/>
    <w:rsid w:val="0EFEC26F"/>
    <w:rsid w:val="19FF5273"/>
    <w:rsid w:val="1BFD054D"/>
    <w:rsid w:val="1F8ACC23"/>
    <w:rsid w:val="1FCDB663"/>
    <w:rsid w:val="277B58EC"/>
    <w:rsid w:val="2D47FA36"/>
    <w:rsid w:val="2DD56DA7"/>
    <w:rsid w:val="2DFF19FC"/>
    <w:rsid w:val="2FFFDD2A"/>
    <w:rsid w:val="3CC562B8"/>
    <w:rsid w:val="3CEBB8DE"/>
    <w:rsid w:val="3CF80245"/>
    <w:rsid w:val="3D7B1D57"/>
    <w:rsid w:val="3EA7418B"/>
    <w:rsid w:val="3EDD90B8"/>
    <w:rsid w:val="3EFB80D8"/>
    <w:rsid w:val="3FFE0DC1"/>
    <w:rsid w:val="4D9E190F"/>
    <w:rsid w:val="53BEF99B"/>
    <w:rsid w:val="55F6532A"/>
    <w:rsid w:val="57E93D10"/>
    <w:rsid w:val="5ADE0A35"/>
    <w:rsid w:val="5DEE6E8E"/>
    <w:rsid w:val="5F1B868C"/>
    <w:rsid w:val="5F9F53F2"/>
    <w:rsid w:val="63CF9B1F"/>
    <w:rsid w:val="63EF37A5"/>
    <w:rsid w:val="63F937E8"/>
    <w:rsid w:val="673DB681"/>
    <w:rsid w:val="68768120"/>
    <w:rsid w:val="68BFFEC5"/>
    <w:rsid w:val="6CC7C41B"/>
    <w:rsid w:val="6D753832"/>
    <w:rsid w:val="6E976ACF"/>
    <w:rsid w:val="6FBCB062"/>
    <w:rsid w:val="6FFE6788"/>
    <w:rsid w:val="77EF227C"/>
    <w:rsid w:val="7C7FFB3D"/>
    <w:rsid w:val="7D79026D"/>
    <w:rsid w:val="7D7DBE6F"/>
    <w:rsid w:val="7DBF9A32"/>
    <w:rsid w:val="7DFF5C38"/>
    <w:rsid w:val="7ED9B096"/>
    <w:rsid w:val="7EEB6824"/>
    <w:rsid w:val="7EF72A3E"/>
    <w:rsid w:val="7EF943F0"/>
    <w:rsid w:val="7EFAA3F2"/>
    <w:rsid w:val="7F740875"/>
    <w:rsid w:val="7F9CB35E"/>
    <w:rsid w:val="7FAB87B8"/>
    <w:rsid w:val="7FCF1D36"/>
    <w:rsid w:val="7FE5729E"/>
    <w:rsid w:val="7FE7066D"/>
    <w:rsid w:val="7FF260F5"/>
    <w:rsid w:val="7FFFD46C"/>
    <w:rsid w:val="7FFFD873"/>
    <w:rsid w:val="9F357C64"/>
    <w:rsid w:val="A47FEC12"/>
    <w:rsid w:val="AA6D3454"/>
    <w:rsid w:val="ACFB80DB"/>
    <w:rsid w:val="AEB6C1C2"/>
    <w:rsid w:val="AFBFA61C"/>
    <w:rsid w:val="AFFF079C"/>
    <w:rsid w:val="B4FFF559"/>
    <w:rsid w:val="B6BDE3F7"/>
    <w:rsid w:val="B75EE504"/>
    <w:rsid w:val="B7F700DD"/>
    <w:rsid w:val="B7FFBECD"/>
    <w:rsid w:val="B939B18D"/>
    <w:rsid w:val="BDEEB642"/>
    <w:rsid w:val="BDF62CFD"/>
    <w:rsid w:val="BDF7DB22"/>
    <w:rsid w:val="BE77D317"/>
    <w:rsid w:val="BEBF820F"/>
    <w:rsid w:val="BFDFAEF2"/>
    <w:rsid w:val="BFDFC562"/>
    <w:rsid w:val="BFDFD21E"/>
    <w:rsid w:val="C775CEEA"/>
    <w:rsid w:val="CCFD2D09"/>
    <w:rsid w:val="CDFBC232"/>
    <w:rsid w:val="D37F3ABF"/>
    <w:rsid w:val="D9F880DF"/>
    <w:rsid w:val="DAEBDFD0"/>
    <w:rsid w:val="DBD9A898"/>
    <w:rsid w:val="DBED5856"/>
    <w:rsid w:val="DEE3CC06"/>
    <w:rsid w:val="E6E103BE"/>
    <w:rsid w:val="E75F426B"/>
    <w:rsid w:val="E7B7BCA3"/>
    <w:rsid w:val="EF76103E"/>
    <w:rsid w:val="EF8FA7BD"/>
    <w:rsid w:val="EFEEE1F0"/>
    <w:rsid w:val="EFFBA26A"/>
    <w:rsid w:val="F67FE7D7"/>
    <w:rsid w:val="F77BCA78"/>
    <w:rsid w:val="F77EE6EC"/>
    <w:rsid w:val="F7BF2FEF"/>
    <w:rsid w:val="F7FFF9D4"/>
    <w:rsid w:val="F9FDCD0F"/>
    <w:rsid w:val="FB5EF3A8"/>
    <w:rsid w:val="FBFE9FA2"/>
    <w:rsid w:val="FDDF3F0A"/>
    <w:rsid w:val="FDEEA9A9"/>
    <w:rsid w:val="FDF36091"/>
    <w:rsid w:val="FE0BBA67"/>
    <w:rsid w:val="FE132418"/>
    <w:rsid w:val="FEFFA35B"/>
    <w:rsid w:val="FF9656E5"/>
    <w:rsid w:val="FF97B951"/>
    <w:rsid w:val="FFDF0AF2"/>
    <w:rsid w:val="FFF73194"/>
    <w:rsid w:val="FFFA1412"/>
    <w:rsid w:val="FFFDD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link w:val="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character" w:customStyle="1" w:styleId="8">
    <w:name w:val="标题 3 Char"/>
    <w:link w:val="3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2026-10-25T08:42:00Z</dcterms:created>
  <dc:creator>里克(rick_tan)</dc:creator>
  <cp:lastModifiedBy>里克(rick_tan)</cp:lastModifiedBy>
  <dcterms:modified xsi:type="dcterms:W3CDTF">2026-10-25T09:28:34Z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88441DA5B8AA65647350DD6AA3088404_41</vt:lpwstr>
  </property>
</Properties>
</file>