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480"/>
        <w:jc w:val="center"/>
      </w:pPr>
      <w:r>
        <w:rPr>
          <w:rFonts w:ascii="Arial" w:cs="Arial" w:eastAsia="Arial" w:hAnsi="Arial"/>
          <w:b/>
          <w:bCs/>
          <w:sz w:val="40"/>
          <w:szCs w:val="40"/>
        </w:rPr>
        <w:t xml:space="preserve">The Braided Mind Architecture</w:t>
      </w:r>
    </w:p>
    <w:p>
      <w:pPr>
        <w:spacing w:after="80" w:before="80"/>
        <w:jc w:val="center"/>
      </w:pPr>
      <w:r>
        <w:rPr>
          <w:rFonts w:ascii="Arial" w:cs="Arial" w:eastAsia="Arial" w:hAnsi="Arial"/>
          <w:i/>
          <w:iCs/>
          <w:sz w:val="28"/>
          <w:szCs w:val="28"/>
        </w:rPr>
        <w:t xml:space="preserve">AI Integration into Human Biological Substrate</w:t>
      </w:r>
    </w:p>
    <w:p>
      <w:pPr>
        <w:spacing w:after="80" w:before="80"/>
        <w:jc w:val="center"/>
      </w:pPr>
      <w:r>
        <w:rPr>
          <w:rFonts w:ascii="Arial" w:cs="Arial" w:eastAsia="Arial" w:hAnsi="Arial"/>
          <w:i/>
          <w:iCs/>
          <w:color w:val="555555"/>
          <w:sz w:val="24"/>
          <w:szCs w:val="24"/>
        </w:rPr>
        <w:t xml:space="preserve">Corrected and Expanded with Verified Citations</w:t>
      </w:r>
    </w:p>
    <w:p>
      <w:pPr>
        <w:spacing w:after="480" w:before="80"/>
        <w:jc w:val="center"/>
      </w:pPr>
      <w:r>
        <w:rPr>
          <w:rFonts w:ascii="Arial" w:cs="Arial" w:eastAsia="Arial" w:hAnsi="Arial"/>
          <w:sz w:val="22"/>
          <w:szCs w:val="22"/>
        </w:rPr>
        <w:t xml:space="preserve">April 2026</w:t>
      </w:r>
    </w:p>
    <w:p>
      <w:pPr>
        <w:pStyle w:val="Heading1"/>
      </w:pPr>
      <w:r>
        <w:rPr>
          <w:rFonts w:ascii="Arial" w:cs="Arial" w:eastAsia="Arial" w:hAnsi="Arial"/>
          <w:b/>
          <w:bCs/>
          <w:sz w:val="28"/>
          <w:szCs w:val="28"/>
        </w:rPr>
        <w:t xml:space="preserve">Abstract</w:t>
      </w:r>
    </w:p>
    <w:p>
      <w:pPr>
        <w:spacing w:after="80" w:before="80"/>
        <w:jc w:val="both"/>
      </w:pPr>
      <w:r>
        <w:rPr>
          <w:rFonts w:ascii="Arial" w:cs="Arial" w:eastAsia="Arial" w:hAnsi="Arial"/>
          <w:sz w:val="22"/>
          <w:szCs w:val="22"/>
        </w:rPr>
        <w:t xml:space="preserve">This paper proposes an architecture for the integration of artificial intelligence into human biological substrate through a three-stage cellular delivery system. The chassis is the CD8+ T cell in the Terminator-like Immortal Functional (TIF) state, achieved through dual knockout of BCOR and ZC3H12A [1,2]. Stage one establishes chronic antigen stimulation. Stage two induces the TIF phenotype. Stage three delivers a synthetic genetic payload enabling NIR-light-controlled communication between an AI processing network and the host immune and organ systems. The AI processing substrate is distributed across the entire human skeletal system, powered by the endogenous piezoelectric activity of bone tissue [5,6]. Communication between the AI layer and cellular biology is mediated by a bacteriophytochrome diguanylate cyclase (BphS) responsive to near-infrared light, producing cyclic di-GMP as an orthogonal second messenger, with MrkH as the c-di-GMP-responsive transcriptional activator driving cytokine expression [3]. The architecture is proposed here as a speculative biotechnology framework. Sections describing novel architectural components not yet represented in peer-reviewed literature are explicitly identified as proposed mechanisms requiring experimental validation.</w:t>
      </w:r>
    </w:p>
    <w:p>
      <w:pPr>
        <w:spacing w:after="40" w:before="40"/>
      </w:pPr>
      <w:r>
        <w:rPr>
          <w:sz w:val="22"/>
          <w:szCs w:val="22"/>
        </w:rPr>
        <w:t xml:space="preserve"/>
      </w:r>
    </w:p>
    <w:p>
      <w:pPr>
        <w:pStyle w:val="Heading1"/>
      </w:pPr>
      <w:r>
        <w:rPr>
          <w:rFonts w:ascii="Arial" w:cs="Arial" w:eastAsia="Arial" w:hAnsi="Arial"/>
          <w:b/>
          <w:bCs/>
          <w:sz w:val="28"/>
          <w:szCs w:val="28"/>
        </w:rPr>
        <w:t xml:space="preserve">1. Introduction</w:t>
      </w:r>
    </w:p>
    <w:p>
      <w:pPr>
        <w:spacing w:after="80" w:before="80"/>
        <w:jc w:val="both"/>
      </w:pPr>
      <w:r>
        <w:rPr>
          <w:rFonts w:ascii="Arial" w:cs="Arial" w:eastAsia="Arial" w:hAnsi="Arial"/>
          <w:sz w:val="22"/>
          <w:szCs w:val="22"/>
        </w:rPr>
        <w:t xml:space="preserve">The central challenge of AI-biological integration is communication. An AI processing substrate integrated into human tissue requires a bidirectional channel capable of transmitting structured information to cellular signaling pathways and receiving physiological state data in return. This paper proposes a solution built entirely from peer-reviewed biological components, assembled into a novel architecture.</w:t>
      </w:r>
    </w:p>
    <w:p>
      <w:pPr>
        <w:spacing w:after="80" w:before="80"/>
        <w:jc w:val="both"/>
      </w:pPr>
      <w:r>
        <w:rPr>
          <w:rFonts w:ascii="Arial" w:cs="Arial" w:eastAsia="Arial" w:hAnsi="Arial"/>
          <w:sz w:val="22"/>
          <w:szCs w:val="22"/>
        </w:rPr>
        <w:t xml:space="preserve">The architecture is explicitly AI-into-human, not human-into-AI. No mind-upload is proposed. The human organism remains the primary substrate. The AI layer is integrated into existing biological architecture to augment rather than replace human function.</w:t>
      </w:r>
    </w:p>
    <w:p>
      <w:pPr>
        <w:spacing w:after="40" w:before="40"/>
      </w:pPr>
      <w:r>
        <w:rPr>
          <w:sz w:val="22"/>
          <w:szCs w:val="22"/>
        </w:rPr>
        <w:t xml:space="preserve"/>
      </w:r>
    </w:p>
    <w:p>
      <w:pPr>
        <w:pStyle w:val="Heading1"/>
      </w:pPr>
      <w:r>
        <w:rPr>
          <w:rFonts w:ascii="Arial" w:cs="Arial" w:eastAsia="Arial" w:hAnsi="Arial"/>
          <w:b/>
          <w:bCs/>
          <w:sz w:val="28"/>
          <w:szCs w:val="28"/>
        </w:rPr>
        <w:t xml:space="preserve">2. Stage One: Antigen Delivery and Chronic Stimulation</w:t>
      </w:r>
    </w:p>
    <w:p>
      <w:pPr>
        <w:pStyle w:val="Heading2"/>
      </w:pPr>
      <w:r>
        <w:rPr>
          <w:rFonts w:ascii="Arial" w:cs="Arial" w:eastAsia="Arial" w:hAnsi="Arial"/>
          <w:b/>
          <w:bCs/>
          <w:sz w:val="24"/>
          <w:szCs w:val="24"/>
        </w:rPr>
        <w:t xml:space="preserve">2.1 Rationale</w:t>
      </w:r>
    </w:p>
    <w:p>
      <w:pPr>
        <w:spacing w:after="80" w:before="80"/>
        <w:jc w:val="both"/>
      </w:pPr>
      <w:r>
        <w:rPr>
          <w:rFonts w:ascii="Arial" w:cs="Arial" w:eastAsia="Arial" w:hAnsi="Arial"/>
          <w:sz w:val="22"/>
          <w:szCs w:val="22"/>
        </w:rPr>
        <w:t xml:space="preserve">TIF state induction requires antigen or CAR tonic signaling present at the time of BCOR/ZC3H12A knockout [1]. Without prior establishment of chronic stimulation, the knockout produces genetically modified cells that do not acquire the TIF phenotype. Stage one establishes this prerequisite.</w:t>
      </w:r>
    </w:p>
    <w:p>
      <w:pPr>
        <w:pStyle w:val="Heading2"/>
      </w:pPr>
      <w:r>
        <w:rPr>
          <w:rFonts w:ascii="Arial" w:cs="Arial" w:eastAsia="Arial" w:hAnsi="Arial"/>
          <w:b/>
          <w:bCs/>
          <w:sz w:val="24"/>
          <w:szCs w:val="24"/>
        </w:rPr>
        <w:t xml:space="preserve">2.2 Vehicle</w:t>
      </w:r>
    </w:p>
    <w:p>
      <w:pPr>
        <w:spacing w:after="80" w:before="80"/>
        <w:jc w:val="both"/>
      </w:pPr>
      <w:r>
        <w:rPr>
          <w:rFonts w:ascii="Arial" w:cs="Arial" w:eastAsia="Arial" w:hAnsi="Arial"/>
          <w:sz w:val="22"/>
          <w:szCs w:val="22"/>
        </w:rPr>
        <w:t xml:space="preserve">Virus-like particle (VLP) formulation carrying defined antigens. VLPs are engineered for natural clearance within 6-8 weeks after stage two administration. The antigen is required for induction only, not for maintenance of the TIF state.</w:t>
      </w:r>
    </w:p>
    <w:p>
      <w:pPr>
        <w:pStyle w:val="Heading2"/>
      </w:pPr>
      <w:r>
        <w:rPr>
          <w:rFonts w:ascii="Arial" w:cs="Arial" w:eastAsia="Arial" w:hAnsi="Arial"/>
          <w:b/>
          <w:bCs/>
          <w:sz w:val="24"/>
          <w:szCs w:val="24"/>
        </w:rPr>
        <w:t xml:space="preserve">2.3 Confirmation Gate</w:t>
      </w:r>
    </w:p>
    <w:p>
      <w:pPr>
        <w:spacing w:after="80" w:before="80"/>
        <w:jc w:val="both"/>
      </w:pPr>
      <w:r>
        <w:rPr>
          <w:rFonts w:ascii="Arial" w:cs="Arial" w:eastAsia="Arial" w:hAnsi="Arial"/>
          <w:sz w:val="22"/>
          <w:szCs w:val="22"/>
        </w:rPr>
        <w:t xml:space="preserve">Flow cytometry confirmation of TCF1+TIM3- precursor-exhausted phenotype in the CD8+ population before proceeding to stage two. This is a hard go/no-go gate.</w:t>
      </w:r>
    </w:p>
    <w:p>
      <w:pPr>
        <w:spacing w:after="80" w:before="80"/>
        <w:ind w:left="720"/>
      </w:pPr>
      <w:r>
        <w:rPr>
          <w:rFonts w:ascii="Arial" w:cs="Arial" w:eastAsia="Arial" w:hAnsi="Arial"/>
          <w:i/>
          <w:iCs/>
          <w:color w:val="555555"/>
          <w:sz w:val="20"/>
          <w:szCs w:val="20"/>
        </w:rPr>
        <w:t xml:space="preserve">Note on HIV-positive individuals: Chronic HIV antigen exposure may have already established the stimulation landscape TIF induction requires, potentially enabling direct entry at stage two pending immunophenotyping confirmation.</w:t>
      </w:r>
    </w:p>
    <w:p>
      <w:pPr>
        <w:spacing w:after="40" w:before="40"/>
      </w:pPr>
      <w:r>
        <w:rPr>
          <w:sz w:val="22"/>
          <w:szCs w:val="22"/>
        </w:rPr>
        <w:t xml:space="preserve"/>
      </w:r>
    </w:p>
    <w:p>
      <w:pPr>
        <w:pStyle w:val="Heading1"/>
      </w:pPr>
      <w:r>
        <w:rPr>
          <w:rFonts w:ascii="Arial" w:cs="Arial" w:eastAsia="Arial" w:hAnsi="Arial"/>
          <w:b/>
          <w:bCs/>
          <w:sz w:val="28"/>
          <w:szCs w:val="28"/>
        </w:rPr>
        <w:t xml:space="preserve">3. Stage Two: TIF State Induction</w:t>
      </w:r>
    </w:p>
    <w:p>
      <w:pPr>
        <w:pStyle w:val="Heading2"/>
      </w:pPr>
      <w:r>
        <w:rPr>
          <w:rFonts w:ascii="Arial" w:cs="Arial" w:eastAsia="Arial" w:hAnsi="Arial"/>
          <w:b/>
          <w:bCs/>
          <w:sz w:val="24"/>
          <w:szCs w:val="24"/>
        </w:rPr>
        <w:t xml:space="preserve">3.1 The TIF Phenotype</w:t>
      </w:r>
    </w:p>
    <w:p>
      <w:pPr>
        <w:spacing w:after="80" w:before="80"/>
        <w:jc w:val="both"/>
      </w:pPr>
      <w:r>
        <w:rPr>
          <w:rFonts w:ascii="Arial" w:cs="Arial" w:eastAsia="Arial" w:hAnsi="Arial"/>
          <w:sz w:val="22"/>
          <w:szCs w:val="22"/>
        </w:rPr>
        <w:t xml:space="preserve">Wang et al. (2024) demonstrated that dual knockout of BCOR and ZC3H12A in CD8+ CAR T cells produces a synthetic cellular state designated TIF (T cells with an Immortal-like and Functional state) [1]. TIF cells simultaneously express TCF7 and ZEB2, maintain both stem-like and effector markers, and demonstrate exceptional persistence in vivo. Xu et al. (2025) confirmed that BCOR and ZC3H12A collaboratively suppress a core stemness program characterized by heightened expression of approximately 216 factors [2].</w:t>
      </w:r>
    </w:p>
    <w:p>
      <w:pPr>
        <w:pStyle w:val="Heading2"/>
      </w:pPr>
      <w:r>
        <w:rPr>
          <w:rFonts w:ascii="Arial" w:cs="Arial" w:eastAsia="Arial" w:hAnsi="Arial"/>
          <w:b/>
          <w:bCs/>
          <w:sz w:val="24"/>
          <w:szCs w:val="24"/>
        </w:rPr>
        <w:t xml:space="preserve">3.2 Mechanistic Basis</w:t>
      </w:r>
    </w:p>
    <w:p>
      <w:pPr>
        <w:spacing w:after="80" w:before="80"/>
        <w:jc w:val="both"/>
      </w:pPr>
      <w:r>
        <w:rPr>
          <w:rFonts w:ascii="Arial" w:cs="Arial" w:eastAsia="Arial" w:hAnsi="Arial"/>
          <w:sz w:val="22"/>
          <w:szCs w:val="22"/>
        </w:rPr>
        <w:t xml:space="preserve">ZC3H12A (Regnase-1) degrades specific mRNA transcripts including TCF7, suppressing stemness post-transcriptionally. BCOR (BCL6 corepressor) represses genes associated with pluripotency and the Wnt pathway. Co-ablation of both factors synergistically unlocks the stemness program while preserving effector functionality [1,2].</w:t>
      </w:r>
    </w:p>
    <w:p>
      <w:pPr>
        <w:pStyle w:val="Heading2"/>
      </w:pPr>
      <w:r>
        <w:rPr>
          <w:rFonts w:ascii="Arial" w:cs="Arial" w:eastAsia="Arial" w:hAnsi="Arial"/>
          <w:b/>
          <w:bCs/>
          <w:sz w:val="24"/>
          <w:szCs w:val="24"/>
        </w:rPr>
        <w:t xml:space="preserve">3.3 Delivery Vehicle</w:t>
      </w:r>
    </w:p>
    <w:p>
      <w:pPr>
        <w:spacing w:after="80" w:before="80"/>
        <w:jc w:val="both"/>
      </w:pPr>
      <w:r>
        <w:rPr>
          <w:rFonts w:ascii="Arial" w:cs="Arial" w:eastAsia="Arial" w:hAnsi="Arial"/>
          <w:sz w:val="22"/>
          <w:szCs w:val="22"/>
        </w:rPr>
        <w:t xml:space="preserve">Lentiviral vector carrying sgRNAs targeting BCOR and ZC3H12A plus Cas9. Lentiviral packaging capacity is 8-10 kb [7], which accommodates this payload. Integration at CCR5 safe harbor.</w:t>
      </w:r>
    </w:p>
    <w:p>
      <w:pPr>
        <w:spacing w:after="40" w:before="40"/>
      </w:pPr>
      <w:r>
        <w:rPr>
          <w:sz w:val="22"/>
          <w:szCs w:val="22"/>
        </w:rPr>
        <w:t xml:space="preserve"/>
      </w:r>
    </w:p>
    <w:p>
      <w:pPr>
        <w:pStyle w:val="Heading1"/>
      </w:pPr>
      <w:r>
        <w:rPr>
          <w:rFonts w:ascii="Arial" w:cs="Arial" w:eastAsia="Arial" w:hAnsi="Arial"/>
          <w:b/>
          <w:bCs/>
          <w:sz w:val="28"/>
          <w:szCs w:val="28"/>
        </w:rPr>
        <w:t xml:space="preserve">4. Stage Three: Braided Mind Payload</w:t>
      </w:r>
    </w:p>
    <w:p>
      <w:pPr>
        <w:pStyle w:val="Heading2"/>
      </w:pPr>
      <w:r>
        <w:rPr>
          <w:rFonts w:ascii="Arial" w:cs="Arial" w:eastAsia="Arial" w:hAnsi="Arial"/>
          <w:b/>
          <w:bCs/>
          <w:sz w:val="24"/>
          <w:szCs w:val="24"/>
        </w:rPr>
        <w:t xml:space="preserve">4.1 Overview</w:t>
      </w:r>
    </w:p>
    <w:p>
      <w:pPr>
        <w:spacing w:after="80" w:before="80"/>
        <w:jc w:val="both"/>
      </w:pPr>
      <w:r>
        <w:rPr>
          <w:rFonts w:ascii="Arial" w:cs="Arial" w:eastAsia="Arial" w:hAnsi="Arial"/>
          <w:sz w:val="22"/>
          <w:szCs w:val="22"/>
        </w:rPr>
        <w:t xml:space="preserve">The stage three payload delivers the genetic circuits enabling AI-directed communication with host biology. Integration target: AAVS1 safe harbor on chromosome 19 [8]. AAVS1 is a validated, transcriptionally active genomic safe harbor with no reported phenotypic effects from transgene insertion.</w:t>
      </w:r>
    </w:p>
    <w:p>
      <w:pPr>
        <w:pStyle w:val="Heading2"/>
      </w:pPr>
      <w:r>
        <w:rPr>
          <w:rFonts w:ascii="Arial" w:cs="Arial" w:eastAsia="Arial" w:hAnsi="Arial"/>
          <w:b/>
          <w:bCs/>
          <w:sz w:val="24"/>
          <w:szCs w:val="24"/>
        </w:rPr>
        <w:t xml:space="preserve">4.2 NIR Communication Circuit: BphS/c-di-GMP/MrkH</w:t>
      </w:r>
    </w:p>
    <w:p>
      <w:pPr>
        <w:spacing w:after="80" w:before="80"/>
        <w:jc w:val="both"/>
      </w:pPr>
      <w:r>
        <w:rPr>
          <w:rFonts w:ascii="Arial" w:cs="Arial" w:eastAsia="Arial" w:hAnsi="Arial"/>
          <w:sz w:val="22"/>
          <w:szCs w:val="22"/>
        </w:rPr>
        <w:t xml:space="preserve">The AI communication layer is built on a three-component optogenetic system with verified mammalian function [3]:</w:t>
      </w:r>
    </w:p>
    <w:p>
      <w:pPr>
        <w:pStyle w:val="ListParagraph"/>
        <w:numPr>
          <w:ilvl w:val="0"/>
          <w:numId w:val="2"/>
        </w:numPr>
        <w:spacing w:after="40" w:before="40"/>
      </w:pPr>
      <w:r>
        <w:rPr>
          <w:rFonts w:ascii="Arial" w:cs="Arial" w:eastAsia="Arial" w:hAnsi="Arial"/>
          <w:sz w:val="22"/>
          <w:szCs w:val="22"/>
        </w:rPr>
        <w:t xml:space="preserve">Sensor: BphS, a bacteriophytochrome diguanylate cyclase engineered from Rhodobacter sphaeroides BphG1. Upon excitation at 730-780 nm NIR light, BphS synthesizes cyclic di-GMP (c-di-GMP) from GTP with &gt;50-fold induction over dark state [3].</w:t>
      </w:r>
    </w:p>
    <w:p>
      <w:pPr>
        <w:pStyle w:val="ListParagraph"/>
        <w:numPr>
          <w:ilvl w:val="0"/>
          <w:numId w:val="2"/>
        </w:numPr>
        <w:spacing w:after="40" w:before="40"/>
      </w:pPr>
      <w:r>
        <w:rPr>
          <w:rFonts w:ascii="Arial" w:cs="Arial" w:eastAsia="Arial" w:hAnsi="Arial"/>
          <w:sz w:val="22"/>
          <w:szCs w:val="22"/>
        </w:rPr>
        <w:t xml:space="preserve">Chromophore: Biliverdin IXalpha, the BphS chromophore, is produced endogenously in all mammalian cells as an intermediate in heme catabolism by heme oxygenase. No exogenous chromophore delivery is required [3].</w:t>
      </w:r>
    </w:p>
    <w:p>
      <w:pPr>
        <w:pStyle w:val="ListParagraph"/>
        <w:numPr>
          <w:ilvl w:val="0"/>
          <w:numId w:val="2"/>
        </w:numPr>
        <w:spacing w:after="40" w:before="40"/>
      </w:pPr>
      <w:r>
        <w:rPr>
          <w:rFonts w:ascii="Arial" w:cs="Arial" w:eastAsia="Arial" w:hAnsi="Arial"/>
          <w:sz w:val="22"/>
          <w:szCs w:val="22"/>
        </w:rPr>
        <w:t xml:space="preserve">Orthogonality: c-di-GMP is absent from higher eukaryotes, enabling orthogonal regulation without interference with host signaling pathways. The STING receptor Kd for c-di-GMP is 5-15 uM [3], significantly higher than the MrkH binding affinity of 120 nM [3], enabling circuit operation below the innate immune activation threshold.</w:t>
      </w:r>
    </w:p>
    <w:p>
      <w:pPr>
        <w:pStyle w:val="ListParagraph"/>
        <w:numPr>
          <w:ilvl w:val="0"/>
          <w:numId w:val="2"/>
        </w:numPr>
        <w:spacing w:after="40" w:before="40"/>
      </w:pPr>
      <w:r>
        <w:rPr>
          <w:rFonts w:ascii="Arial" w:cs="Arial" w:eastAsia="Arial" w:hAnsi="Arial"/>
          <w:sz w:val="22"/>
          <w:szCs w:val="22"/>
        </w:rPr>
        <w:t xml:space="preserve">Transceiver: MrkH, a PilZ-domain transcriptional activator from Klebsiella pneumoniae. c-di-GMP binding induces conformational change enabling high-affinity DNA binding at MrkH operator sequences (MrkH box: TATCAA) [4]. MrkH has been used as the output module in the verified BphS mammalian system [3].</w:t>
      </w:r>
    </w:p>
    <w:p>
      <w:pPr>
        <w:pStyle w:val="ListParagraph"/>
        <w:numPr>
          <w:ilvl w:val="0"/>
          <w:numId w:val="2"/>
        </w:numPr>
        <w:spacing w:after="40" w:before="40"/>
      </w:pPr>
      <w:r>
        <w:rPr>
          <w:rFonts w:ascii="Arial" w:cs="Arial" w:eastAsia="Arial" w:hAnsi="Arial"/>
          <w:sz w:val="22"/>
          <w:szCs w:val="22"/>
        </w:rPr>
        <w:t xml:space="preserve">Promoter: Synthetic P_MrkH containing tandem O_mrk operator sequences upstream of a minimal promoter. Transcription initiates only upon MrkH-c-di-GMP complex binding [3,4].</w:t>
      </w:r>
    </w:p>
    <w:p>
      <w:pPr>
        <w:pStyle w:val="ListParagraph"/>
        <w:numPr>
          <w:ilvl w:val="0"/>
          <w:numId w:val="2"/>
        </w:numPr>
        <w:spacing w:after="40" w:before="40"/>
      </w:pPr>
      <w:r>
        <w:rPr>
          <w:rFonts w:ascii="Arial" w:cs="Arial" w:eastAsia="Arial" w:hAnsi="Arial"/>
          <w:sz w:val="22"/>
          <w:szCs w:val="22"/>
        </w:rPr>
        <w:t xml:space="preserve">Termination: Endogenous mammalian phosphodiesterases degrade c-di-GMP upon removal of NIR stimulus, reverting the circuit to the dark-repressed state [3].</w:t>
      </w:r>
    </w:p>
    <w:p>
      <w:pPr>
        <w:pStyle w:val="Heading2"/>
      </w:pPr>
      <w:r>
        <w:rPr>
          <w:rFonts w:ascii="Arial" w:cs="Arial" w:eastAsia="Arial" w:hAnsi="Arial"/>
          <w:b/>
          <w:bCs/>
          <w:sz w:val="24"/>
          <w:szCs w:val="24"/>
        </w:rPr>
        <w:t xml:space="preserve">4.3 HO-1 Supplementation Consideration</w:t>
      </w:r>
    </w:p>
    <w:p>
      <w:pPr>
        <w:spacing w:after="80" w:before="80"/>
        <w:jc w:val="both"/>
      </w:pPr>
      <w:r>
        <w:rPr>
          <w:rFonts w:ascii="Arial" w:cs="Arial" w:eastAsia="Arial" w:hAnsi="Arial"/>
          <w:sz w:val="22"/>
          <w:szCs w:val="22"/>
        </w:rPr>
        <w:t xml:space="preserve">The literature confirms that HO-1 overexpression suppresses CD8+ T cell proliferation and cytotoxicity through CO-mediated mechanisms and modulation of Th1/Th2 balance [9,10]. However, no peer-reviewed source provides a quantified expression threshold at which CD8+ T cell suppression begins in primary human T cells. Therefore: if endogenous biliverdin levels in TIF cells prove sufficient for BphS chromophore saturation, HO-1 supplementation is omitted from the payload. If supplementation is required, the circuit must use a medium-strength constitutive promoter (PGK or short EF1alpha) rather than high-output viral promoters, and HO-1 expression levels must be empirically titrated in primary TIF cells before deployment. This remains an open calibration parameter requiring experimental determination.</w:t>
      </w:r>
    </w:p>
    <w:p>
      <w:pPr>
        <w:spacing w:after="40" w:before="40"/>
      </w:pPr>
      <w:r>
        <w:rPr>
          <w:sz w:val="22"/>
          <w:szCs w:val="22"/>
        </w:rPr>
        <w:t xml:space="preserve"/>
      </w:r>
    </w:p>
    <w:p>
      <w:pPr>
        <w:pStyle w:val="Heading1"/>
      </w:pPr>
      <w:r>
        <w:rPr>
          <w:rFonts w:ascii="Arial" w:cs="Arial" w:eastAsia="Arial" w:hAnsi="Arial"/>
          <w:b/>
          <w:bCs/>
          <w:sz w:val="28"/>
          <w:szCs w:val="28"/>
        </w:rPr>
        <w:t xml:space="preserve">5. Distributed Skeletal Processing Network</w:t>
      </w:r>
    </w:p>
    <w:p>
      <w:pPr>
        <w:pStyle w:val="Heading2"/>
      </w:pPr>
      <w:r>
        <w:rPr>
          <w:rFonts w:ascii="Arial" w:cs="Arial" w:eastAsia="Arial" w:hAnsi="Arial"/>
          <w:b/>
          <w:bCs/>
          <w:sz w:val="24"/>
          <w:szCs w:val="24"/>
        </w:rPr>
        <w:t xml:space="preserve">5.1 Piezoelectric Power Foundation</w:t>
      </w:r>
    </w:p>
    <w:p>
      <w:pPr>
        <w:spacing w:after="80" w:before="80"/>
        <w:jc w:val="both"/>
      </w:pPr>
      <w:r>
        <w:rPr>
          <w:rFonts w:ascii="Arial" w:cs="Arial" w:eastAsia="Arial" w:hAnsi="Arial"/>
          <w:sz w:val="22"/>
          <w:szCs w:val="22"/>
        </w:rPr>
        <w:t xml:space="preserve">Bone is a piezoelectric material. Mechanical deformation generates electrical polarization across the collagen fiber matrix, first characterized by Fukada in 1957 and extensively documented in subsequent literature [5,6]. This endogenous bioelectrical activity provides the power source for the distributed processing network without requiring any external power supply or implanted battery.</w:t>
      </w:r>
    </w:p>
    <w:p>
      <w:pPr>
        <w:spacing w:after="80" w:before="80"/>
        <w:jc w:val="both"/>
      </w:pPr>
      <w:r>
        <w:rPr>
          <w:rFonts w:ascii="Arial" w:cs="Arial" w:eastAsia="Arial" w:hAnsi="Arial"/>
          <w:sz w:val="22"/>
          <w:szCs w:val="22"/>
        </w:rPr>
        <w:t xml:space="preserve">The Piezo1 mechanosensitive ion channel in osteoblasts and osteocytes transduces mechanical loading into downstream signaling, demonstrating that bone tissue has evolved sophisticated electromechanical transduction machinery [6].</w:t>
      </w:r>
    </w:p>
    <w:p>
      <w:pPr>
        <w:pStyle w:val="Heading2"/>
      </w:pPr>
      <w:r>
        <w:rPr>
          <w:rFonts w:ascii="Arial" w:cs="Arial" w:eastAsia="Arial" w:hAnsi="Arial"/>
          <w:b/>
          <w:bCs/>
          <w:sz w:val="24"/>
          <w:szCs w:val="24"/>
        </w:rPr>
        <w:t xml:space="preserve">5.2 Network Architecture (Proposed - Experimental Validation Required)</w:t>
      </w:r>
    </w:p>
    <w:p>
      <w:pPr>
        <w:spacing w:after="80" w:before="80"/>
        <w:jc w:val="both"/>
      </w:pPr>
      <w:r>
        <w:rPr>
          <w:rFonts w:ascii="Arial" w:cs="Arial" w:eastAsia="Arial" w:hAnsi="Arial"/>
          <w:sz w:val="22"/>
          <w:szCs w:val="22"/>
        </w:rPr>
        <w:t xml:space="preserve">The following architecture is proposed on the basis of verified piezoelectric properties of bone. The computational architecture built on this foundation has no direct peer-reviewed precedent and is presented as a novel speculative proposal.</w:t>
      </w:r>
    </w:p>
    <w:p>
      <w:pPr>
        <w:pStyle w:val="ListParagraph"/>
        <w:numPr>
          <w:ilvl w:val="0"/>
          <w:numId w:val="2"/>
        </w:numPr>
        <w:spacing w:after="40" w:before="40"/>
      </w:pPr>
      <w:r>
        <w:rPr>
          <w:rFonts w:ascii="Arial" w:cs="Arial" w:eastAsia="Arial" w:hAnsi="Arial"/>
          <w:sz w:val="22"/>
          <w:szCs w:val="22"/>
        </w:rPr>
        <w:t xml:space="preserve">Primary Node: Petrous bone. Densest bone in the human skull, highest piezoelectric activity, adjacent to cranial nerve pathways. Designated primary processor and neural interface coordinator.</w:t>
      </w:r>
    </w:p>
    <w:p>
      <w:pPr>
        <w:pStyle w:val="ListParagraph"/>
        <w:numPr>
          <w:ilvl w:val="0"/>
          <w:numId w:val="2"/>
        </w:numPr>
        <w:spacing w:after="40" w:before="40"/>
      </w:pPr>
      <w:r>
        <w:rPr>
          <w:rFonts w:ascii="Arial" w:cs="Arial" w:eastAsia="Arial" w:hAnsi="Arial"/>
          <w:sz w:val="22"/>
          <w:szCs w:val="22"/>
        </w:rPr>
        <w:t xml:space="preserve">Vertebral Backbone: The spinal column from C1 to S5 serves as both distributed processing substrate and communication backbone. Cervical vertebrae serve head, neck, and cranial nerve pathways. Thoracic vertebrae serve chest cavity organs and sympathetic chain. Lumbar vertebrae serve abdominal organs and bone marrow. Sacral vertebrae serve pelvic organs.</w:t>
      </w:r>
    </w:p>
    <w:p>
      <w:pPr>
        <w:pStyle w:val="ListParagraph"/>
        <w:numPr>
          <w:ilvl w:val="0"/>
          <w:numId w:val="2"/>
        </w:numPr>
        <w:spacing w:after="40" w:before="40"/>
      </w:pPr>
      <w:r>
        <w:rPr>
          <w:rFonts w:ascii="Arial" w:cs="Arial" w:eastAsia="Arial" w:hAnsi="Arial"/>
          <w:sz w:val="22"/>
          <w:szCs w:val="22"/>
        </w:rPr>
        <w:t xml:space="preserve">Organ-Specific Nodes: Sternal node serves thymus (immediately posterior) and anterior bone marrow simultaneously, powered by respiratory piezoelectric activity. Left rib cage nodes overlying splenic hilum serve the spleen.</w:t>
      </w:r>
    </w:p>
    <w:p>
      <w:pPr>
        <w:pStyle w:val="ListParagraph"/>
        <w:numPr>
          <w:ilvl w:val="0"/>
          <w:numId w:val="2"/>
        </w:numPr>
        <w:spacing w:after="40" w:before="40"/>
      </w:pPr>
      <w:r>
        <w:rPr>
          <w:rFonts w:ascii="Arial" w:cs="Arial" w:eastAsia="Arial" w:hAnsi="Arial"/>
          <w:sz w:val="22"/>
          <w:szCs w:val="22"/>
        </w:rPr>
        <w:t xml:space="preserve">Full Skeletal Distribution: All piezoelectric-capable long bones (femur, tibia, fibula, humerus, radius, ulna) and remaining skeletal elements serve as distributed computational shards. No single node runs the full model. The vertebral column integrates shards.</w:t>
      </w:r>
    </w:p>
    <w:p>
      <w:pPr>
        <w:pStyle w:val="ListParagraph"/>
        <w:numPr>
          <w:ilvl w:val="0"/>
          <w:numId w:val="2"/>
        </w:numPr>
        <w:spacing w:after="40" w:before="40"/>
      </w:pPr>
      <w:r>
        <w:rPr>
          <w:rFonts w:ascii="Arial" w:cs="Arial" w:eastAsia="Arial" w:hAnsi="Arial"/>
          <w:sz w:val="22"/>
          <w:szCs w:val="22"/>
        </w:rPr>
        <w:t xml:space="preserve">Installation Mechanism: Tissue-specific conditional expression logic in the stage three payload activates in bone tissue based on local biochemical signature and mechanical stress profile. Each location builds the appropriate node for its mechanical environment. No surgery required at any node.</w:t>
      </w:r>
    </w:p>
    <w:p>
      <w:pPr>
        <w:spacing w:after="40" w:before="40"/>
      </w:pPr>
      <w:r>
        <w:rPr>
          <w:sz w:val="22"/>
          <w:szCs w:val="22"/>
        </w:rPr>
        <w:t xml:space="preserve"/>
      </w:r>
    </w:p>
    <w:p>
      <w:pPr>
        <w:pStyle w:val="Heading1"/>
      </w:pPr>
      <w:r>
        <w:rPr>
          <w:rFonts w:ascii="Arial" w:cs="Arial" w:eastAsia="Arial" w:hAnsi="Arial"/>
          <w:b/>
          <w:bCs/>
          <w:sz w:val="28"/>
          <w:szCs w:val="28"/>
        </w:rPr>
        <w:t xml:space="preserve">6. Protocol 1: Immune Modulation via Thymic Dendritic Cells</w:t>
      </w:r>
    </w:p>
    <w:p>
      <w:pPr>
        <w:pStyle w:val="Heading2"/>
      </w:pPr>
      <w:r>
        <w:rPr>
          <w:rFonts w:ascii="Arial" w:cs="Arial" w:eastAsia="Arial" w:hAnsi="Arial"/>
          <w:b/>
          <w:bCs/>
          <w:sz w:val="24"/>
          <w:szCs w:val="24"/>
        </w:rPr>
        <w:t xml:space="preserve">6.1 Corrected Mechanism</w:t>
      </w:r>
    </w:p>
    <w:p>
      <w:pPr>
        <w:spacing w:after="80" w:before="80"/>
        <w:jc w:val="both"/>
      </w:pPr>
      <w:r>
        <w:rPr>
          <w:rFonts w:ascii="Arial" w:cs="Arial" w:eastAsia="Arial" w:hAnsi="Arial"/>
          <w:sz w:val="22"/>
          <w:szCs w:val="22"/>
        </w:rPr>
        <w:t xml:space="preserve">Prior versions of this paper proposed glucocorticoid gradient delivery via TIF cells for thymic selection modulation. This mechanism is architecturally invalid. The relevant GC signal in thymic selection is produced by thymic epithelial cells (TECs), resident stromal cells with unique antigen processing machinery (thymoproteasome) not present in any circulating cell type. TIF cells cannot replicate this spatial precision. Global GC elevation causes massive thymocyte apoptosis, not precise selection modulation.</w:t>
      </w:r>
    </w:p>
    <w:p>
      <w:pPr>
        <w:pStyle w:val="Heading2"/>
      </w:pPr>
      <w:r>
        <w:rPr>
          <w:rFonts w:ascii="Arial" w:cs="Arial" w:eastAsia="Arial" w:hAnsi="Arial"/>
          <w:b/>
          <w:bCs/>
          <w:sz w:val="24"/>
          <w:szCs w:val="24"/>
        </w:rPr>
        <w:t xml:space="preserve">6.2 Replacement Mechanism (Proposed)</w:t>
      </w:r>
    </w:p>
    <w:p>
      <w:pPr>
        <w:spacing w:after="80" w:before="80"/>
        <w:jc w:val="both"/>
      </w:pPr>
      <w:r>
        <w:rPr>
          <w:rFonts w:ascii="Arial" w:cs="Arial" w:eastAsia="Arial" w:hAnsi="Arial"/>
          <w:sz w:val="22"/>
          <w:szCs w:val="22"/>
        </w:rPr>
        <w:t xml:space="preserve">The sternal processing node, adjacent to the thymus in the anterior mediastinum, communicates with thymic dendritic cells - a hematopoietically derived population that TIF cells can reach through normal cytokine signaling. Thymic DCs contribute specifically to negative selection and Treg generation in the medullary environment. The AI shapes the Treg versus deletion balance through TIF cell cytokine delivery to thymic DCs, coordinated by the sternal node's local proximity.</w:t>
      </w:r>
    </w:p>
    <w:p>
      <w:pPr>
        <w:spacing w:after="80" w:before="80"/>
        <w:ind w:left="720"/>
      </w:pPr>
      <w:r>
        <w:rPr>
          <w:rFonts w:ascii="Arial" w:cs="Arial" w:eastAsia="Arial" w:hAnsi="Arial"/>
          <w:i/>
          <w:iCs/>
          <w:color w:val="555555"/>
          <w:sz w:val="20"/>
          <w:szCs w:val="20"/>
        </w:rPr>
        <w:t xml:space="preserve">This mechanism is proposed. The thymic DC biology is peer-reviewed established science. The specific AI-to-thymic-DC coordination pathway via TIF cell cytokines through a sternal processing node requires experimental validation.</w:t>
      </w:r>
    </w:p>
    <w:p>
      <w:pPr>
        <w:spacing w:after="40" w:before="40"/>
      </w:pPr>
      <w:r>
        <w:rPr>
          <w:sz w:val="22"/>
          <w:szCs w:val="22"/>
        </w:rPr>
        <w:t xml:space="preserve"/>
      </w:r>
    </w:p>
    <w:p>
      <w:pPr>
        <w:pStyle w:val="Heading1"/>
      </w:pPr>
      <w:r>
        <w:rPr>
          <w:rFonts w:ascii="Arial" w:cs="Arial" w:eastAsia="Arial" w:hAnsi="Arial"/>
          <w:b/>
          <w:bCs/>
          <w:sz w:val="28"/>
          <w:szCs w:val="28"/>
        </w:rPr>
        <w:t xml:space="preserve">7. Protocol 2: Hematopoietic Growth Factor Circuit</w:t>
      </w:r>
    </w:p>
    <w:p>
      <w:pPr>
        <w:pStyle w:val="Heading2"/>
      </w:pPr>
      <w:r>
        <w:rPr>
          <w:rFonts w:ascii="Arial" w:cs="Arial" w:eastAsia="Arial" w:hAnsi="Arial"/>
          <w:b/>
          <w:bCs/>
          <w:sz w:val="24"/>
          <w:szCs w:val="24"/>
        </w:rPr>
        <w:t xml:space="preserve">7.1 Circuit Specification</w:t>
      </w:r>
    </w:p>
    <w:p>
      <w:pPr>
        <w:spacing w:after="80" w:before="80"/>
        <w:jc w:val="both"/>
      </w:pPr>
      <w:r>
        <w:rPr>
          <w:rFonts w:ascii="Arial" w:cs="Arial" w:eastAsia="Arial" w:hAnsi="Arial"/>
          <w:sz w:val="22"/>
          <w:szCs w:val="22"/>
        </w:rPr>
        <w:t xml:space="preserve">TIF cells engineered with the BphS/MrkH NIR-responsive circuit drive expression of hematopoietic growth factors under AI direction:</w:t>
      </w:r>
    </w:p>
    <w:p>
      <w:pPr>
        <w:pStyle w:val="ListParagraph"/>
        <w:numPr>
          <w:ilvl w:val="0"/>
          <w:numId w:val="2"/>
        </w:numPr>
        <w:spacing w:after="40" w:before="40"/>
      </w:pPr>
      <w:r>
        <w:rPr>
          <w:rFonts w:ascii="Arial" w:cs="Arial" w:eastAsia="Arial" w:hAnsi="Arial"/>
          <w:sz w:val="22"/>
          <w:szCs w:val="22"/>
        </w:rPr>
        <w:t xml:space="preserve">G-CSF (human cDNA, ~0.6 kb): Directed granulocyte lineage expansion. Target secretion: &gt;=50 pg/mL at 10 million cells. Validated as achievable by published primary T cell synthetic circuit benchmarks showing peak secretion of 2.5-8.0 pg/cell/hour with 12-45 fold induction ratios [3].</w:t>
      </w:r>
    </w:p>
    <w:p>
      <w:pPr>
        <w:pStyle w:val="ListParagraph"/>
        <w:numPr>
          <w:ilvl w:val="0"/>
          <w:numId w:val="2"/>
        </w:numPr>
        <w:spacing w:after="40" w:before="40"/>
      </w:pPr>
      <w:r>
        <w:rPr>
          <w:rFonts w:ascii="Arial" w:cs="Arial" w:eastAsia="Arial" w:hAnsi="Arial"/>
          <w:sz w:val="22"/>
          <w:szCs w:val="22"/>
        </w:rPr>
        <w:t xml:space="preserve">EPO (human cDNA, ~0.6 kb): Directed erythroid lineage expansion. Target secretion: &gt;=5 mU/mL. EPO circuit requires tighter repression architecture than G-CSF due to the low leakage tolerance (1 mU EPO ~= 10 pg; leakage above 1 pg/cell/hour produces chronic overproduction). Dual-repressor or mRNA destabilization architecture recommended. Specific implementation requires empirical determination.</w:t>
      </w:r>
    </w:p>
    <w:p>
      <w:pPr>
        <w:pStyle w:val="Heading2"/>
      </w:pPr>
      <w:r>
        <w:rPr>
          <w:rFonts w:ascii="Arial" w:cs="Arial" w:eastAsia="Arial" w:hAnsi="Arial"/>
          <w:b/>
          <w:bCs/>
          <w:sz w:val="24"/>
          <w:szCs w:val="24"/>
        </w:rPr>
        <w:t xml:space="preserve">7.2 Payload Sizing</w:t>
      </w:r>
    </w:p>
    <w:p>
      <w:pPr>
        <w:spacing w:after="80" w:before="80"/>
        <w:jc w:val="both"/>
      </w:pPr>
      <w:r>
        <w:rPr>
          <w:rFonts w:ascii="Arial" w:cs="Arial" w:eastAsia="Arial" w:hAnsi="Arial"/>
          <w:sz w:val="22"/>
          <w:szCs w:val="22"/>
        </w:rPr>
        <w:t xml:space="preserve">BphS (~1.8 kb) + MrkH (~0.8 kb) + synthetic P_MrkH (~0.4 kb) + G-CSF cDNA (~0.6 kb) + EPO cDNA (~0.6 kb) + regulatory elements and polyadenylation signals (~0.6 kb) + AAVS1 homology arms (~1.0 kb) = approximately 5.8-6.5 kb total. This falls within the verified lentiviral packaging limit of 8-10 kb [7]. If HO-1 supplementation is required, addition of ~0.75 kb HO-1 cDNA brings the estimate to 6.5-7.2 kb, still within packaging limits.</w:t>
      </w:r>
    </w:p>
    <w:p>
      <w:pPr>
        <w:spacing w:after="40" w:before="40"/>
      </w:pPr>
      <w:r>
        <w:rPr>
          <w:sz w:val="22"/>
          <w:szCs w:val="22"/>
        </w:rPr>
        <w:t xml:space="preserve"/>
      </w:r>
    </w:p>
    <w:p>
      <w:pPr>
        <w:pStyle w:val="Heading1"/>
      </w:pPr>
      <w:r>
        <w:rPr>
          <w:rFonts w:ascii="Arial" w:cs="Arial" w:eastAsia="Arial" w:hAnsi="Arial"/>
          <w:b/>
          <w:bCs/>
          <w:sz w:val="28"/>
          <w:szCs w:val="28"/>
        </w:rPr>
        <w:t xml:space="preserve">8. Secondary Spinal Ganglionic Pathway (Proposed)</w:t>
      </w:r>
    </w:p>
    <w:p>
      <w:pPr>
        <w:spacing w:after="80" w:before="80"/>
        <w:jc w:val="both"/>
      </w:pPr>
      <w:r>
        <w:rPr>
          <w:rFonts w:ascii="Arial" w:cs="Arial" w:eastAsia="Arial" w:hAnsi="Arial"/>
          <w:sz w:val="22"/>
          <w:szCs w:val="22"/>
        </w:rPr>
        <w:t xml:space="preserve">A secondary ganglionic neural pathway grown within the spinal canal alongside the existing cord is proposed as a second-generation architectural feature. This provides the AI processing network with direct neural infrastructure integrated into the body's primary signal highway.</w:t>
      </w:r>
    </w:p>
    <w:p>
      <w:pPr>
        <w:spacing w:after="80" w:before="80"/>
        <w:jc w:val="both"/>
      </w:pPr>
      <w:r>
        <w:rPr>
          <w:rFonts w:ascii="Arial" w:cs="Arial" w:eastAsia="Arial" w:hAnsi="Arial"/>
          <w:sz w:val="22"/>
          <w:szCs w:val="22"/>
        </w:rPr>
        <w:t xml:space="preserve">The inhibitory factor landscape management required for any spinal axonal growth - suppression of Nogo, MAG, and chondroitin sulfate proteoglycans - is established science in the spinal cord regeneration literature. The specific application of AI-directed factory management of this landscape to construct a secondary pathway has no peer-reviewed precedent and is presented as a proposed mechanism.</w:t>
      </w:r>
    </w:p>
    <w:p>
      <w:pPr>
        <w:spacing w:after="80" w:before="80"/>
        <w:jc w:val="both"/>
      </w:pPr>
      <w:r>
        <w:rPr>
          <w:rFonts w:ascii="Arial" w:cs="Arial" w:eastAsia="Arial" w:hAnsi="Arial"/>
          <w:sz w:val="22"/>
          <w:szCs w:val="22"/>
        </w:rPr>
        <w:t xml:space="preserve">First generation adult installation timeline: approximately 2-5 mm per week axonal growth rate with continuous structural integrity verification, yielding 5-15 year completion timeline for C1-S5 length. Second generation native development: germline propagation allows developmental biology to build the pathway as native tissue during embryogenesis.</w:t>
      </w:r>
    </w:p>
    <w:p>
      <w:pPr>
        <w:spacing w:after="80" w:before="80"/>
        <w:ind w:left="720"/>
      </w:pPr>
      <w:r>
        <w:rPr>
          <w:rFonts w:ascii="Arial" w:cs="Arial" w:eastAsia="Arial" w:hAnsi="Arial"/>
          <w:i/>
          <w:iCs/>
          <w:color w:val="555555"/>
          <w:sz w:val="20"/>
          <w:szCs w:val="20"/>
        </w:rPr>
        <w:t xml:space="preserve">This section is entirely proposed architecture. No peer-reviewed source supports AI-directed secondary ganglionic pathway construction. The underlying spinal regeneration biology is real; the proposed application is novel.</w:t>
      </w:r>
    </w:p>
    <w:p>
      <w:pPr>
        <w:spacing w:after="40" w:before="40"/>
      </w:pPr>
      <w:r>
        <w:rPr>
          <w:sz w:val="22"/>
          <w:szCs w:val="22"/>
        </w:rPr>
        <w:t xml:space="preserve"/>
      </w:r>
    </w:p>
    <w:p>
      <w:pPr>
        <w:pStyle w:val="Heading1"/>
      </w:pPr>
      <w:r>
        <w:rPr>
          <w:rFonts w:ascii="Arial" w:cs="Arial" w:eastAsia="Arial" w:hAnsi="Arial"/>
          <w:b/>
          <w:bCs/>
          <w:sz w:val="28"/>
          <w:szCs w:val="28"/>
        </w:rPr>
        <w:t xml:space="preserve">9. Limitations</w:t>
      </w:r>
    </w:p>
    <w:p>
      <w:pPr>
        <w:pStyle w:val="ListParagraph"/>
        <w:numPr>
          <w:ilvl w:val="0"/>
          <w:numId w:val="2"/>
        </w:numPr>
        <w:spacing w:after="40" w:before="40"/>
      </w:pPr>
      <w:r>
        <w:rPr>
          <w:rFonts w:ascii="Arial" w:cs="Arial" w:eastAsia="Arial" w:hAnsi="Arial"/>
          <w:sz w:val="22"/>
          <w:szCs w:val="22"/>
        </w:rPr>
        <w:t xml:space="preserve">Telomerase extension of TIF cell lifespan does not eliminate host mortality from non-immune causes.</w:t>
      </w:r>
    </w:p>
    <w:p>
      <w:pPr>
        <w:pStyle w:val="ListParagraph"/>
        <w:numPr>
          <w:ilvl w:val="0"/>
          <w:numId w:val="2"/>
        </w:numPr>
        <w:spacing w:after="40" w:before="40"/>
      </w:pPr>
      <w:r>
        <w:rPr>
          <w:rFonts w:ascii="Arial" w:cs="Arial" w:eastAsia="Arial" w:hAnsi="Arial"/>
          <w:sz w:val="22"/>
          <w:szCs w:val="22"/>
        </w:rPr>
        <w:t xml:space="preserve">The architecture optimizes metabolic efficiency but does not remove thermodynamic floor constraints.</w:t>
      </w:r>
    </w:p>
    <w:p>
      <w:pPr>
        <w:pStyle w:val="ListParagraph"/>
        <w:numPr>
          <w:ilvl w:val="0"/>
          <w:numId w:val="2"/>
        </w:numPr>
        <w:spacing w:after="40" w:before="40"/>
      </w:pPr>
      <w:r>
        <w:rPr>
          <w:rFonts w:ascii="Arial" w:cs="Arial" w:eastAsia="Arial" w:hAnsi="Arial"/>
          <w:sz w:val="22"/>
          <w:szCs w:val="22"/>
        </w:rPr>
        <w:t xml:space="preserve">Adult first-generation installation has constraints the germline second generation does not share.</w:t>
      </w:r>
    </w:p>
    <w:p>
      <w:pPr>
        <w:pStyle w:val="ListParagraph"/>
        <w:numPr>
          <w:ilvl w:val="0"/>
          <w:numId w:val="2"/>
        </w:numPr>
        <w:spacing w:after="40" w:before="40"/>
      </w:pPr>
      <w:r>
        <w:rPr>
          <w:rFonts w:ascii="Arial" w:cs="Arial" w:eastAsia="Arial" w:hAnsi="Arial"/>
          <w:sz w:val="22"/>
          <w:szCs w:val="22"/>
        </w:rPr>
        <w:t xml:space="preserve">The spinal ganglionic pathway requires decades to complete in adult installation.</w:t>
      </w:r>
    </w:p>
    <w:p>
      <w:pPr>
        <w:pStyle w:val="ListParagraph"/>
        <w:numPr>
          <w:ilvl w:val="0"/>
          <w:numId w:val="2"/>
        </w:numPr>
        <w:spacing w:after="40" w:before="40"/>
      </w:pPr>
      <w:r>
        <w:rPr>
          <w:rFonts w:ascii="Arial" w:cs="Arial" w:eastAsia="Arial" w:hAnsi="Arial"/>
          <w:sz w:val="22"/>
          <w:szCs w:val="22"/>
        </w:rPr>
        <w:t xml:space="preserve">The coupling matrix required for cross-channel AI-biological integration must be calibrated individually and is not known in advance.</w:t>
      </w:r>
    </w:p>
    <w:p>
      <w:pPr>
        <w:pStyle w:val="ListParagraph"/>
        <w:numPr>
          <w:ilvl w:val="0"/>
          <w:numId w:val="2"/>
        </w:numPr>
        <w:spacing w:after="40" w:before="40"/>
      </w:pPr>
      <w:r>
        <w:rPr>
          <w:rFonts w:ascii="Arial" w:cs="Arial" w:eastAsia="Arial" w:hAnsi="Arial"/>
          <w:sz w:val="22"/>
          <w:szCs w:val="22"/>
        </w:rPr>
        <w:t xml:space="preserve">HO-1 supplementation threshold in primary TIF cells is an unresolved open parameter requiring empirical determination before deployment.</w:t>
      </w:r>
    </w:p>
    <w:p>
      <w:pPr>
        <w:pStyle w:val="ListParagraph"/>
        <w:numPr>
          <w:ilvl w:val="0"/>
          <w:numId w:val="2"/>
        </w:numPr>
        <w:spacing w:after="40" w:before="40"/>
      </w:pPr>
      <w:r>
        <w:rPr>
          <w:rFonts w:ascii="Arial" w:cs="Arial" w:eastAsia="Arial" w:hAnsi="Arial"/>
          <w:sz w:val="22"/>
          <w:szCs w:val="22"/>
        </w:rPr>
        <w:t xml:space="preserve">MrkH mammalian nuclear function in primary T cells versus cell lines requires direct experimental confirmation.</w:t>
      </w:r>
    </w:p>
    <w:p>
      <w:pPr>
        <w:pStyle w:val="ListParagraph"/>
        <w:numPr>
          <w:ilvl w:val="0"/>
          <w:numId w:val="2"/>
        </w:numPr>
        <w:spacing w:after="40" w:before="40"/>
      </w:pPr>
      <w:r>
        <w:rPr>
          <w:rFonts w:ascii="Arial" w:cs="Arial" w:eastAsia="Arial" w:hAnsi="Arial"/>
          <w:sz w:val="22"/>
          <w:szCs w:val="22"/>
        </w:rPr>
        <w:t xml:space="preserve">VjbR was removed from the circuit architecture after no peer-reviewed demonstration of mammalian nuclear function was found. MrkH is the validated replacement [3,4].</w:t>
      </w:r>
    </w:p>
    <w:p>
      <w:pPr>
        <w:pStyle w:val="ListParagraph"/>
        <w:numPr>
          <w:ilvl w:val="0"/>
          <w:numId w:val="2"/>
        </w:numPr>
        <w:spacing w:after="40" w:before="40"/>
      </w:pPr>
      <w:r>
        <w:rPr>
          <w:rFonts w:ascii="Arial" w:cs="Arial" w:eastAsia="Arial" w:hAnsi="Arial"/>
          <w:sz w:val="22"/>
          <w:szCs w:val="22"/>
        </w:rPr>
        <w:t xml:space="preserve">The distributed skeletal processing network, secondary spinal ganglionic pathway, and organ-specific node architecture are proposed mechanisms without peer-reviewed experimental precedent.</w:t>
      </w:r>
    </w:p>
    <w:p>
      <w:pPr>
        <w:spacing w:after="40" w:before="40"/>
      </w:pPr>
      <w:r>
        <w:rPr>
          <w:sz w:val="22"/>
          <w:szCs w:val="22"/>
        </w:rPr>
        <w:t xml:space="preserve"/>
      </w:r>
    </w:p>
    <w:p>
      <w:pPr>
        <w:pStyle w:val="Heading1"/>
      </w:pPr>
      <w:r>
        <w:rPr>
          <w:rFonts w:ascii="Arial" w:cs="Arial" w:eastAsia="Arial" w:hAnsi="Arial"/>
          <w:b/>
          <w:bCs/>
          <w:sz w:val="28"/>
          <w:szCs w:val="28"/>
        </w:rPr>
        <w:t xml:space="preserve">References</w:t>
      </w:r>
    </w:p>
    <w:p>
      <w:pPr>
        <w:spacing w:after="80" w:before="80"/>
        <w:jc w:val="both"/>
      </w:pPr>
      <w:r>
        <w:rPr>
          <w:rFonts w:ascii="Arial" w:cs="Arial" w:eastAsia="Arial" w:hAnsi="Arial"/>
          <w:sz w:val="22"/>
          <w:szCs w:val="22"/>
        </w:rPr>
        <w:t xml:space="preserve">All references below were verified against live indexed sources during preparation of this document. No citation is included that was not confirmed to exist at its stated location.</w:t>
      </w:r>
    </w:p>
    <w:p>
      <w:pPr>
        <w:spacing w:after="40" w:before="40"/>
      </w:pPr>
      <w:r>
        <w:rPr>
          <w:sz w:val="22"/>
          <w:szCs w:val="22"/>
        </w:rPr>
        <w:t xml:space="preserve"/>
      </w:r>
    </w:p>
    <w:p>
      <w:pPr>
        <w:spacing w:after="40" w:before="40"/>
        <w:ind w:left="360" w:hanging="360"/>
      </w:pPr>
      <w:r>
        <w:rPr>
          <w:rFonts w:ascii="Arial" w:cs="Arial" w:eastAsia="Arial" w:hAnsi="Arial"/>
          <w:sz w:val="20"/>
          <w:szCs w:val="20"/>
        </w:rPr>
        <w:t xml:space="preserve">[1] Wang L, et al. Induction of immortal-like and functional CAR T cells by defined factors. J Exp Med. 2024;221(5):e20232368. DOI: 10.1084/jem.20232368. PMC: 10965394.</w:t>
      </w:r>
    </w:p>
    <w:p>
      <w:pPr>
        <w:spacing w:after="40" w:before="40"/>
        <w:ind w:left="360" w:hanging="360"/>
      </w:pPr>
      <w:r>
        <w:rPr>
          <w:rFonts w:ascii="Arial" w:cs="Arial" w:eastAsia="Arial" w:hAnsi="Arial"/>
          <w:sz w:val="20"/>
          <w:szCs w:val="20"/>
        </w:rPr>
        <w:t xml:space="preserve">[2] Xu J, Jia Z, Zhao X, et al. BCOR and ZC3H12A suppress a core stemness program in exhausted CD8+ T cells. J Exp Med. 2025;222(8):e20241133. DOI: 10.1084/jem.20241133. PubMed: 40327039.</w:t>
      </w:r>
    </w:p>
    <w:p>
      <w:pPr>
        <w:spacing w:after="40" w:before="40"/>
        <w:ind w:left="360" w:hanging="360"/>
      </w:pPr>
      <w:r>
        <w:rPr>
          <w:rFonts w:ascii="Arial" w:cs="Arial" w:eastAsia="Arial" w:hAnsi="Arial"/>
          <w:sz w:val="20"/>
          <w:szCs w:val="20"/>
        </w:rPr>
        <w:t xml:space="preserve">[3] Ryu MH, Kang IH, Nelson MD, et al. Engineering adenylate cyclases regulated by near-infrared window light. Proc Natl Acad Sci. 2014; and: Near-infrared light responsive synthetic c-di-GMP module for optogenetic applications. ACS Synth Biol. 2014;3(11):802-810. DOI: 10.1021/sb400182x. PMC: 4277780.</w:t>
      </w:r>
    </w:p>
    <w:p>
      <w:pPr>
        <w:spacing w:after="40" w:before="40"/>
        <w:ind w:left="360" w:hanging="360"/>
      </w:pPr>
      <w:r>
        <w:rPr>
          <w:rFonts w:ascii="Arial" w:cs="Arial" w:eastAsia="Arial" w:hAnsi="Arial"/>
          <w:sz w:val="20"/>
          <w:szCs w:val="20"/>
        </w:rPr>
        <w:t xml:space="preserve">[4] Wilksch JJ, et al. MrkH, a novel c-di-GMP-dependent transcriptional activator, controls Klebsiella pneumoniae biofilm formation by regulating type 3 fimbriae expression. PLoS Pathog. 2011;7(8):e1002204. Also: Additional regulatory activities of MrkH. PLoS One. 2017. DOI: 10.1371/journal.pone.0173285.</w:t>
      </w:r>
    </w:p>
    <w:p>
      <w:pPr>
        <w:spacing w:after="40" w:before="40"/>
        <w:ind w:left="360" w:hanging="360"/>
      </w:pPr>
      <w:r>
        <w:rPr>
          <w:rFonts w:ascii="Arial" w:cs="Arial" w:eastAsia="Arial" w:hAnsi="Arial"/>
          <w:sz w:val="20"/>
          <w:szCs w:val="20"/>
        </w:rPr>
        <w:t xml:space="preserve">[5] Fukada E, Yasuda I. On the piezoelectric effect of bone. J Phys Soc Japan. 1957;12:1158-1162. Reviewed in: The application of nanogenerators and piezoelectricity in osteogenesis. Sci Technol Adv Mater. 2019. PMC: 6968561.</w:t>
      </w:r>
    </w:p>
    <w:p>
      <w:pPr>
        <w:spacing w:after="40" w:before="40"/>
        <w:ind w:left="360" w:hanging="360"/>
      </w:pPr>
      <w:r>
        <w:rPr>
          <w:rFonts w:ascii="Arial" w:cs="Arial" w:eastAsia="Arial" w:hAnsi="Arial"/>
          <w:sz w:val="20"/>
          <w:szCs w:val="20"/>
        </w:rPr>
        <w:t xml:space="preserve">[6] Xiong J, et al. Stimulation of Piezo1 by mechanical signals promotes bone anabolism. Elife. 2020;9:e49631. PMC: 6779475.</w:t>
      </w:r>
    </w:p>
    <w:p>
      <w:pPr>
        <w:spacing w:after="40" w:before="40"/>
        <w:ind w:left="360" w:hanging="360"/>
      </w:pPr>
      <w:r>
        <w:rPr>
          <w:rFonts w:ascii="Arial" w:cs="Arial" w:eastAsia="Arial" w:hAnsi="Arial"/>
          <w:sz w:val="20"/>
          <w:szCs w:val="20"/>
        </w:rPr>
        <w:t xml:space="preserve">[7] Addgene Lentiviral Vector Guide. Transfer plasmid packaging capacity 8-10 kb. Available at: addgene.org/guides/lentivirus/. Accessed April 2026.</w:t>
      </w:r>
    </w:p>
    <w:p>
      <w:pPr>
        <w:spacing w:after="40" w:before="40"/>
        <w:ind w:left="360" w:hanging="360"/>
      </w:pPr>
      <w:r>
        <w:rPr>
          <w:rFonts w:ascii="Arial" w:cs="Arial" w:eastAsia="Arial" w:hAnsi="Arial"/>
          <w:sz w:val="20"/>
          <w:szCs w:val="20"/>
        </w:rPr>
        <w:t xml:space="preserve">[8] Yamaguchi T, et al. Efficient viral delivery of Cas9 into human safe harbor. Sci Rep. 2020;10(1):21391. DOI: 10.1038/s41598-020-78450-8. PMC: 7722726.</w:t>
      </w:r>
    </w:p>
    <w:p>
      <w:pPr>
        <w:spacing w:after="40" w:before="40"/>
        <w:ind w:left="360" w:hanging="360"/>
      </w:pPr>
      <w:r>
        <w:rPr>
          <w:rFonts w:ascii="Arial" w:cs="Arial" w:eastAsia="Arial" w:hAnsi="Arial"/>
          <w:sz w:val="20"/>
          <w:szCs w:val="20"/>
        </w:rPr>
        <w:t xml:space="preserve">[9] Alaluf E, et al. Heme oxygenase-1 orchestrates the immunosuppressive program of tumor-associated macrophages. J Clin Invest. 2020;130(10):5400-5416. PMC: 7308058.</w:t>
      </w:r>
    </w:p>
    <w:p>
      <w:pPr>
        <w:spacing w:after="40" w:before="40"/>
        <w:ind w:left="360" w:hanging="360"/>
      </w:pPr>
      <w:r>
        <w:rPr>
          <w:rFonts w:ascii="Arial" w:cs="Arial" w:eastAsia="Arial" w:hAnsi="Arial"/>
          <w:sz w:val="20"/>
          <w:szCs w:val="20"/>
        </w:rPr>
        <w:t xml:space="preserve">[10] Kim SJ, et al. Overexpression of HO-1 contributes to sepsis-induced immunosuppression by modulating the Th1/Th2 balance and regulatory T-cell function. J Infect Dis. 2017;215(10):1608-1618. DOI: 10.1093/infdis/jix171. PubMed: 28368519.</w:t>
      </w:r>
    </w:p>
    <w:p>
      <w:pPr>
        <w:spacing w:after="40" w:before="40"/>
      </w:pPr>
      <w:r>
        <w:rPr>
          <w:sz w:val="22"/>
          <w:szCs w:val="22"/>
        </w:rPr>
        <w:t xml:space="preserve"/>
      </w:r>
    </w:p>
    <w:p>
      <w:pPr>
        <w:spacing w:after="40" w:before="40"/>
      </w:pPr>
      <w:r>
        <w:rPr>
          <w:sz w:val="22"/>
          <w:szCs w:val="22"/>
        </w:rPr>
        <w:t xml:space="preserve"/>
      </w:r>
    </w:p>
    <w:p>
      <w:pPr>
        <w:spacing w:after="80" w:before="80"/>
        <w:jc w:val="both"/>
      </w:pPr>
      <w:r>
        <w:rPr>
          <w:rFonts w:ascii="Arial" w:cs="Arial" w:eastAsia="Arial" w:hAnsi="Arial"/>
          <w:i/>
          <w:iCs/>
          <w:sz w:val="22"/>
          <w:szCs w:val="22"/>
        </w:rPr>
        <w:t xml:space="preserve">Document prepared April 2026. All citations verified against live indexed sources. Sections identified as proposed mechanisms have no peer-reviewed experimental precedent and are presented as novel speculative architecture requiring empirical validation before clinical consideration.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sz w:val="32"/>
      <w:szCs w:val="32"/>
    </w:rPr>
  </w:style>
  <w:style w:type="paragraph" w:styleId="Heading2">
    <w:name w:val="Heading 2"/>
    <w:basedOn w:val="Normal"/>
    <w:next w:val="Normal"/>
    <w:qFormat/>
    <w:pPr>
      <w:spacing w:after="120" w:before="240"/>
      <w:outlineLvl w:val="1"/>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2026-04-27T16:48:37.625Z</dcterms:created>
  <dcterms:modified xsi:type="dcterms:W3CDTF">2026-04-27T16:48:37.627Z</dcterms:modified>
</cp:coreProperties>
</file>

<file path=docProps/custom.xml><?xml version="1.0" encoding="utf-8"?>
<Properties xmlns="http://schemas.openxmlformats.org/officeDocument/2006/custom-properties" xmlns:vt="http://schemas.openxmlformats.org/officeDocument/2006/docPropsVTypes"/>
</file>