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DAD8" w14:textId="77777777" w:rsidR="00A80233" w:rsidRPr="00A80233" w:rsidRDefault="00A80233" w:rsidP="00A80233">
      <w:pPr>
        <w:shd w:val="clear" w:color="auto" w:fill="FFFFFF"/>
        <w:spacing w:after="75" w:line="347" w:lineRule="atLeast"/>
        <w:outlineLvl w:val="2"/>
        <w:rPr>
          <w:rFonts w:ascii="Helvetica" w:hAnsi="Helvetica" w:cs="Helvetica"/>
          <w:b/>
          <w:bCs/>
          <w:color w:val="011B3C"/>
          <w:sz w:val="33"/>
          <w:szCs w:val="33"/>
        </w:rPr>
      </w:pPr>
      <w:bookmarkStart w:id="0" w:name="_GoBack"/>
      <w:bookmarkEnd w:id="0"/>
      <w:r w:rsidRPr="00A80233">
        <w:rPr>
          <w:rFonts w:ascii="Helvetica" w:hAnsi="Helvetica" w:cs="Helvetica"/>
          <w:b/>
          <w:bCs/>
          <w:color w:val="011B3C"/>
          <w:sz w:val="33"/>
          <w:szCs w:val="33"/>
        </w:rPr>
        <w:t xml:space="preserve">Volledige </w:t>
      </w:r>
      <w:proofErr w:type="spellStart"/>
      <w:r w:rsidRPr="00A80233">
        <w:rPr>
          <w:rFonts w:ascii="Helvetica" w:hAnsi="Helvetica" w:cs="Helvetica"/>
          <w:b/>
          <w:bCs/>
          <w:color w:val="011B3C"/>
          <w:sz w:val="33"/>
          <w:szCs w:val="33"/>
        </w:rPr>
        <w:t>vakbeschrijving</w:t>
      </w:r>
      <w:proofErr w:type="spellEnd"/>
    </w:p>
    <w:p w14:paraId="75054A89" w14:textId="77777777" w:rsidR="00A80233" w:rsidRPr="00A80233" w:rsidRDefault="00A80233" w:rsidP="00A80233">
      <w:pPr>
        <w:shd w:val="clear" w:color="auto" w:fill="FFFFFF"/>
        <w:spacing w:after="240" w:line="360" w:lineRule="atLeast"/>
        <w:rPr>
          <w:rFonts w:ascii="Helvetica" w:hAnsi="Helvetica" w:cs="Helvetica"/>
          <w:color w:val="011B3C"/>
        </w:rPr>
      </w:pPr>
      <w:r w:rsidRPr="00A80233">
        <w:rPr>
          <w:rFonts w:ascii="Helvetica" w:hAnsi="Helvetica" w:cs="Helvetica"/>
          <w:color w:val="011B3C"/>
        </w:rPr>
        <w:t>De onderwijseenheid Inleiding Europees Recht is onderdeel van semester 2, blok 4 van de bachelor Rechtsgeleerdheid en Fiscaal Recht.</w:t>
      </w:r>
    </w:p>
    <w:p w14:paraId="67096134" w14:textId="77777777" w:rsidR="00A80233" w:rsidRPr="00A80233" w:rsidRDefault="00A80233" w:rsidP="00A80233">
      <w:pPr>
        <w:shd w:val="clear" w:color="auto" w:fill="FFFFFF"/>
        <w:spacing w:after="240" w:line="360" w:lineRule="atLeast"/>
        <w:rPr>
          <w:rFonts w:ascii="Helvetica" w:hAnsi="Helvetica" w:cs="Helvetica"/>
          <w:color w:val="011B3C"/>
        </w:rPr>
      </w:pPr>
      <w:r w:rsidRPr="00A80233">
        <w:rPr>
          <w:rFonts w:ascii="Helvetica" w:hAnsi="Helvetica" w:cs="Helvetica"/>
          <w:color w:val="011B3C"/>
        </w:rPr>
        <w:t xml:space="preserve">Een multilateraal samenwerkingsverband gebaseerd op twee cruciale verdragen waar we allemaal dagelijks mee te maken hebben: de Europese Unie. In deze inleiding in het Europese recht gaan we in op de twee Verdragen, het VEU en VWEU, die de instellingen van de EU opzetten en de werking van deze instellingen vormgeven. De verschillende functies van deze instellingen wordt behandeld – de “wetgevingsdriehoek” met de Europese Commissie, het Europees Parlement en de Raad van Ministers zijn voor Europese wetgeving cruciaal maar daarnaast speelt ook het Hof van Justitie van de EU een grote rol. Op wat voor manier speelt de wetgeving die deze instellingen samen maken een rol in de Nederlandse rechtsorde? Volgens het Hof van Justitie van de EU moet het mogelijk zijn voor individuen om zich te kunnen beroepen op het Unierecht bij de nationale rechter – </w:t>
      </w:r>
      <w:proofErr w:type="gramStart"/>
      <w:r w:rsidRPr="00A80233">
        <w:rPr>
          <w:rFonts w:ascii="Helvetica" w:hAnsi="Helvetica" w:cs="Helvetica"/>
          <w:color w:val="011B3C"/>
        </w:rPr>
        <w:t>middels</w:t>
      </w:r>
      <w:proofErr w:type="gramEnd"/>
      <w:r w:rsidRPr="00A80233">
        <w:rPr>
          <w:rFonts w:ascii="Helvetica" w:hAnsi="Helvetica" w:cs="Helvetica"/>
          <w:color w:val="011B3C"/>
        </w:rPr>
        <w:t xml:space="preserve"> directe werking, conforme interpretatie of in het uiterste geval staatsaansprakelijkheid. Deze nationale rechters zijn een spil in het rad van de Europese rechtssysteem en kunnen vragen stellen aan het Hof van Justitie </w:t>
      </w:r>
      <w:proofErr w:type="gramStart"/>
      <w:r w:rsidRPr="00A80233">
        <w:rPr>
          <w:rFonts w:ascii="Helvetica" w:hAnsi="Helvetica" w:cs="Helvetica"/>
          <w:color w:val="011B3C"/>
        </w:rPr>
        <w:t>middels</w:t>
      </w:r>
      <w:proofErr w:type="gramEnd"/>
      <w:r w:rsidRPr="00A80233">
        <w:rPr>
          <w:rFonts w:ascii="Helvetica" w:hAnsi="Helvetica" w:cs="Helvetica"/>
          <w:color w:val="011B3C"/>
        </w:rPr>
        <w:t xml:space="preserve"> de prejudiciële procedure – en zo zijn er nog tal van manieren waarbij het Europese recht de nationale rechtsorde beïnvloedt en </w:t>
      </w:r>
      <w:proofErr w:type="spellStart"/>
      <w:r w:rsidRPr="00A80233">
        <w:rPr>
          <w:rFonts w:ascii="Helvetica" w:hAnsi="Helvetica" w:cs="Helvetica"/>
          <w:color w:val="011B3C"/>
        </w:rPr>
        <w:t>vice</w:t>
      </w:r>
      <w:proofErr w:type="spellEnd"/>
      <w:r w:rsidRPr="00A80233">
        <w:rPr>
          <w:rFonts w:ascii="Helvetica" w:hAnsi="Helvetica" w:cs="Helvetica"/>
          <w:color w:val="011B3C"/>
        </w:rPr>
        <w:t xml:space="preserve"> versa. Maar in een tijd waarin de invloed van nationale politiek op “Brussel” beperkt voelt bij een deel van de Nederlandse bevolking, heeft samenwerken binnen de Europese Unie dan nog wel </w:t>
      </w:r>
      <w:proofErr w:type="gramStart"/>
      <w:r w:rsidRPr="00A80233">
        <w:rPr>
          <w:rFonts w:ascii="Helvetica" w:hAnsi="Helvetica" w:cs="Helvetica"/>
          <w:color w:val="011B3C"/>
        </w:rPr>
        <w:t>veel</w:t>
      </w:r>
      <w:proofErr w:type="gramEnd"/>
      <w:r w:rsidRPr="00A80233">
        <w:rPr>
          <w:rFonts w:ascii="Helvetica" w:hAnsi="Helvetica" w:cs="Helvetica"/>
          <w:color w:val="011B3C"/>
        </w:rPr>
        <w:t xml:space="preserve"> zin?</w:t>
      </w:r>
    </w:p>
    <w:p w14:paraId="6DE2F668" w14:textId="77777777" w:rsidR="00A80233" w:rsidRPr="00A80233" w:rsidRDefault="00A80233" w:rsidP="00A80233">
      <w:pPr>
        <w:shd w:val="clear" w:color="auto" w:fill="FFFFFF"/>
        <w:spacing w:after="240" w:line="360" w:lineRule="atLeast"/>
        <w:rPr>
          <w:rFonts w:ascii="Helvetica" w:hAnsi="Helvetica" w:cs="Helvetica"/>
          <w:color w:val="011B3C"/>
        </w:rPr>
      </w:pPr>
      <w:r w:rsidRPr="00A80233">
        <w:rPr>
          <w:rFonts w:ascii="Helvetica" w:hAnsi="Helvetica" w:cs="Helvetica"/>
          <w:color w:val="011B3C"/>
        </w:rPr>
        <w:t xml:space="preserve">In blok 4 volgt de student naast het vak Inleiding Europees Recht ook de vakken Inleiding Internationaal Recht en Inleiding Staatsrecht. In de laatste week van het blok is er aandacht voor grensvlakken tussen deze rechtsgebieden </w:t>
      </w:r>
      <w:proofErr w:type="gramStart"/>
      <w:r w:rsidRPr="00A80233">
        <w:rPr>
          <w:rFonts w:ascii="Helvetica" w:hAnsi="Helvetica" w:cs="Helvetica"/>
          <w:color w:val="011B3C"/>
        </w:rPr>
        <w:t>omtrent</w:t>
      </w:r>
      <w:proofErr w:type="gramEnd"/>
      <w:r w:rsidRPr="00A80233">
        <w:rPr>
          <w:rFonts w:ascii="Helvetica" w:hAnsi="Helvetica" w:cs="Helvetica"/>
          <w:color w:val="011B3C"/>
        </w:rPr>
        <w:t xml:space="preserve"> het onderwerp mensenrechten.</w:t>
      </w:r>
    </w:p>
    <w:p w14:paraId="3713F0EA" w14:textId="77777777" w:rsidR="00A80233" w:rsidRPr="00A80233" w:rsidRDefault="00A80233" w:rsidP="00A80233">
      <w:pPr>
        <w:shd w:val="clear" w:color="auto" w:fill="FFFFFF"/>
        <w:spacing w:after="240" w:line="360" w:lineRule="atLeast"/>
        <w:rPr>
          <w:rFonts w:ascii="Helvetica" w:hAnsi="Helvetica" w:cs="Helvetica"/>
          <w:color w:val="011B3C"/>
        </w:rPr>
      </w:pPr>
      <w:r w:rsidRPr="00A80233">
        <w:rPr>
          <w:rFonts w:ascii="Helvetica" w:hAnsi="Helvetica" w:cs="Helvetica"/>
          <w:color w:val="011B3C"/>
        </w:rPr>
        <w:t>Het vak bereidt voor op het verdiepende vak Internationaal en Europees Recht in semester 3, blok 1 (jaar 2).</w:t>
      </w:r>
    </w:p>
    <w:p w14:paraId="130E01AD" w14:textId="77777777" w:rsidR="00A80233" w:rsidRPr="00A80233" w:rsidRDefault="00A80233" w:rsidP="00A80233">
      <w:pPr>
        <w:shd w:val="clear" w:color="auto" w:fill="FFFFFF"/>
        <w:spacing w:after="240" w:line="360" w:lineRule="atLeast"/>
        <w:rPr>
          <w:rFonts w:ascii="Helvetica" w:hAnsi="Helvetica" w:cs="Helvetica"/>
          <w:color w:val="011B3C"/>
        </w:rPr>
      </w:pPr>
      <w:r w:rsidRPr="00A80233">
        <w:rPr>
          <w:rFonts w:ascii="Helvetica" w:hAnsi="Helvetica" w:cs="Helvetica"/>
          <w:b/>
          <w:bCs/>
          <w:i/>
          <w:iCs/>
          <w:color w:val="011B3C"/>
        </w:rPr>
        <w:t>Onderwijsmethoden:</w:t>
      </w:r>
      <w:r w:rsidRPr="00A80233">
        <w:rPr>
          <w:rFonts w:ascii="Helvetica" w:hAnsi="Helvetica" w:cs="Helvetica"/>
          <w:color w:val="011B3C"/>
        </w:rPr>
        <w:t> Onderwijsgroepen Casus &amp; Vaardigheden en Systeem, Colleges</w:t>
      </w:r>
    </w:p>
    <w:p w14:paraId="1B62F3F6" w14:textId="77777777" w:rsidR="00A80233" w:rsidRPr="00A80233" w:rsidRDefault="00A80233" w:rsidP="00A80233">
      <w:pPr>
        <w:shd w:val="clear" w:color="auto" w:fill="FFFFFF"/>
        <w:spacing w:after="240" w:line="360" w:lineRule="atLeast"/>
        <w:rPr>
          <w:rFonts w:ascii="Helvetica" w:hAnsi="Helvetica" w:cs="Helvetica"/>
          <w:color w:val="011B3C"/>
        </w:rPr>
      </w:pPr>
      <w:r w:rsidRPr="00A80233">
        <w:rPr>
          <w:rFonts w:ascii="Helvetica" w:hAnsi="Helvetica" w:cs="Helvetica"/>
          <w:b/>
          <w:bCs/>
          <w:i/>
          <w:iCs/>
          <w:color w:val="011B3C"/>
        </w:rPr>
        <w:t>Evaluatiemethoden:</w:t>
      </w:r>
      <w:r w:rsidRPr="00A80233">
        <w:rPr>
          <w:rFonts w:ascii="Helvetica" w:hAnsi="Helvetica" w:cs="Helvetica"/>
          <w:color w:val="011B3C"/>
        </w:rPr>
        <w:t xml:space="preserve"> Tentamen bestaande uit casussen met </w:t>
      </w:r>
      <w:proofErr w:type="spellStart"/>
      <w:r w:rsidRPr="00A80233">
        <w:rPr>
          <w:rFonts w:ascii="Helvetica" w:hAnsi="Helvetica" w:cs="Helvetica"/>
          <w:color w:val="011B3C"/>
        </w:rPr>
        <w:t>subvragen</w:t>
      </w:r>
      <w:proofErr w:type="spellEnd"/>
      <w:r w:rsidRPr="00A80233">
        <w:rPr>
          <w:rFonts w:ascii="Helvetica" w:hAnsi="Helvetica" w:cs="Helvetica"/>
          <w:color w:val="011B3C"/>
        </w:rPr>
        <w:t xml:space="preserve"> (100%)</w:t>
      </w:r>
    </w:p>
    <w:p w14:paraId="3E35DAFE" w14:textId="77777777" w:rsidR="00A80233" w:rsidRPr="00A80233" w:rsidRDefault="00A80233" w:rsidP="00A80233">
      <w:pPr>
        <w:shd w:val="clear" w:color="auto" w:fill="FFFFFF"/>
        <w:spacing w:after="75" w:line="347" w:lineRule="atLeast"/>
        <w:outlineLvl w:val="2"/>
        <w:rPr>
          <w:rFonts w:ascii="Helvetica" w:hAnsi="Helvetica" w:cs="Helvetica"/>
          <w:b/>
          <w:bCs/>
          <w:color w:val="011B3C"/>
          <w:sz w:val="33"/>
          <w:szCs w:val="33"/>
        </w:rPr>
      </w:pPr>
      <w:r w:rsidRPr="00A80233">
        <w:rPr>
          <w:rFonts w:ascii="Helvetica" w:hAnsi="Helvetica" w:cs="Helvetica"/>
          <w:b/>
          <w:bCs/>
          <w:color w:val="011B3C"/>
          <w:sz w:val="33"/>
          <w:szCs w:val="33"/>
        </w:rPr>
        <w:t>Doelstellingen van dit vak</w:t>
      </w:r>
    </w:p>
    <w:p w14:paraId="331F05B6" w14:textId="77777777" w:rsidR="00A80233" w:rsidRPr="00A80233" w:rsidRDefault="00A80233" w:rsidP="00A80233">
      <w:pPr>
        <w:shd w:val="clear" w:color="auto" w:fill="FFFFFF"/>
        <w:spacing w:after="240" w:line="360" w:lineRule="atLeast"/>
        <w:rPr>
          <w:rFonts w:ascii="Helvetica" w:hAnsi="Helvetica" w:cs="Helvetica"/>
          <w:color w:val="011B3C"/>
        </w:rPr>
      </w:pPr>
      <w:r w:rsidRPr="00A80233">
        <w:rPr>
          <w:rFonts w:ascii="Helvetica" w:hAnsi="Helvetica" w:cs="Helvetica"/>
          <w:color w:val="011B3C"/>
        </w:rPr>
        <w:lastRenderedPageBreak/>
        <w:t>Na succesvolle afronding van het vak Inleiding Europees Recht heb je de volgende leerdoelen bereikt:</w:t>
      </w:r>
    </w:p>
    <w:p w14:paraId="482ADCE0" w14:textId="77777777" w:rsidR="00A80233" w:rsidRPr="00A80233" w:rsidRDefault="00A80233" w:rsidP="00A80233">
      <w:pPr>
        <w:numPr>
          <w:ilvl w:val="0"/>
          <w:numId w:val="1"/>
        </w:numPr>
        <w:shd w:val="clear" w:color="auto" w:fill="FFFFFF"/>
        <w:spacing w:before="100" w:beforeAutospacing="1" w:after="100" w:afterAutospacing="1" w:line="360" w:lineRule="atLeast"/>
        <w:ind w:left="1035" w:right="300"/>
        <w:rPr>
          <w:rFonts w:ascii="Helvetica" w:hAnsi="Helvetica" w:cs="Helvetica"/>
          <w:color w:val="011B3C"/>
        </w:rPr>
      </w:pPr>
      <w:r w:rsidRPr="00A80233">
        <w:rPr>
          <w:rFonts w:ascii="Helvetica" w:hAnsi="Helvetica" w:cs="Helvetica"/>
          <w:color w:val="011B3C"/>
        </w:rPr>
        <w:t>Je bent in staat algemene staatsrechtelijke begrippen (staat, soevereiniteit, staatsrecht, democratie, parlementair stelsel, rechtsstaat, grondrechten) uit te leggen en toe te passen op het niveau van de Europese Unie;</w:t>
      </w:r>
    </w:p>
    <w:p w14:paraId="2F685B56" w14:textId="77777777" w:rsidR="00A80233" w:rsidRPr="00A80233" w:rsidRDefault="00A80233" w:rsidP="00A80233">
      <w:pPr>
        <w:numPr>
          <w:ilvl w:val="0"/>
          <w:numId w:val="1"/>
        </w:numPr>
        <w:shd w:val="clear" w:color="auto" w:fill="FFFFFF"/>
        <w:spacing w:before="100" w:beforeAutospacing="1" w:after="100" w:afterAutospacing="1" w:line="360" w:lineRule="atLeast"/>
        <w:ind w:left="1035" w:right="300"/>
        <w:rPr>
          <w:rFonts w:ascii="Helvetica" w:hAnsi="Helvetica" w:cs="Helvetica"/>
          <w:color w:val="011B3C"/>
        </w:rPr>
      </w:pPr>
      <w:r w:rsidRPr="00A80233">
        <w:rPr>
          <w:rFonts w:ascii="Helvetica" w:hAnsi="Helvetica" w:cs="Helvetica"/>
          <w:color w:val="011B3C"/>
        </w:rPr>
        <w:t>Je bent in staat de bronnen van het Unierecht en hun onderlinge relatie te identificeren en te duiden;</w:t>
      </w:r>
    </w:p>
    <w:p w14:paraId="5184C38A" w14:textId="77777777" w:rsidR="00A80233" w:rsidRPr="00A80233" w:rsidRDefault="00A80233" w:rsidP="00A80233">
      <w:pPr>
        <w:numPr>
          <w:ilvl w:val="0"/>
          <w:numId w:val="1"/>
        </w:numPr>
        <w:shd w:val="clear" w:color="auto" w:fill="FFFFFF"/>
        <w:spacing w:before="100" w:beforeAutospacing="1" w:after="100" w:afterAutospacing="1" w:line="360" w:lineRule="atLeast"/>
        <w:ind w:left="1035" w:right="300"/>
        <w:rPr>
          <w:rFonts w:ascii="Helvetica" w:hAnsi="Helvetica" w:cs="Helvetica"/>
          <w:color w:val="011B3C"/>
        </w:rPr>
      </w:pPr>
      <w:r w:rsidRPr="00A80233">
        <w:rPr>
          <w:rFonts w:ascii="Helvetica" w:hAnsi="Helvetica" w:cs="Helvetica"/>
          <w:color w:val="011B3C"/>
        </w:rPr>
        <w:t>Je kunt de EU-instellingen en hun bevoegdheden beschrijven en hun functie binnen de EU uit te leggen;</w:t>
      </w:r>
    </w:p>
    <w:p w14:paraId="6D4E620B" w14:textId="77777777" w:rsidR="00A80233" w:rsidRPr="00A80233" w:rsidRDefault="00A80233" w:rsidP="00A80233">
      <w:pPr>
        <w:numPr>
          <w:ilvl w:val="0"/>
          <w:numId w:val="1"/>
        </w:numPr>
        <w:shd w:val="clear" w:color="auto" w:fill="FFFFFF"/>
        <w:spacing w:before="100" w:beforeAutospacing="1" w:after="100" w:afterAutospacing="1" w:line="360" w:lineRule="atLeast"/>
        <w:ind w:left="1035" w:right="300"/>
        <w:rPr>
          <w:rFonts w:ascii="Helvetica" w:hAnsi="Helvetica" w:cs="Helvetica"/>
          <w:color w:val="011B3C"/>
        </w:rPr>
      </w:pPr>
      <w:r w:rsidRPr="00A80233">
        <w:rPr>
          <w:rFonts w:ascii="Helvetica" w:hAnsi="Helvetica" w:cs="Helvetica"/>
          <w:color w:val="011B3C"/>
        </w:rPr>
        <w:t xml:space="preserve">Je bent in staat de regels </w:t>
      </w:r>
      <w:proofErr w:type="gramStart"/>
      <w:r w:rsidRPr="00A80233">
        <w:rPr>
          <w:rFonts w:ascii="Helvetica" w:hAnsi="Helvetica" w:cs="Helvetica"/>
          <w:color w:val="011B3C"/>
        </w:rPr>
        <w:t>betreffende</w:t>
      </w:r>
      <w:proofErr w:type="gramEnd"/>
      <w:r w:rsidRPr="00A80233">
        <w:rPr>
          <w:rFonts w:ascii="Helvetica" w:hAnsi="Helvetica" w:cs="Helvetica"/>
          <w:color w:val="011B3C"/>
        </w:rPr>
        <w:t xml:space="preserve"> de aanname van secundaire wetgeving uit te leggen en toe te passen in een concrete casus;</w:t>
      </w:r>
    </w:p>
    <w:p w14:paraId="731422D3" w14:textId="77777777" w:rsidR="00A80233" w:rsidRPr="00A80233" w:rsidRDefault="00A80233" w:rsidP="00A80233">
      <w:pPr>
        <w:numPr>
          <w:ilvl w:val="0"/>
          <w:numId w:val="1"/>
        </w:numPr>
        <w:shd w:val="clear" w:color="auto" w:fill="FFFFFF"/>
        <w:spacing w:before="100" w:beforeAutospacing="1" w:after="100" w:afterAutospacing="1" w:line="360" w:lineRule="atLeast"/>
        <w:ind w:left="1035" w:right="300"/>
        <w:rPr>
          <w:rFonts w:ascii="Helvetica" w:hAnsi="Helvetica" w:cs="Helvetica"/>
          <w:color w:val="011B3C"/>
        </w:rPr>
      </w:pPr>
      <w:r w:rsidRPr="00A80233">
        <w:rPr>
          <w:rFonts w:ascii="Helvetica" w:hAnsi="Helvetica" w:cs="Helvetica"/>
          <w:color w:val="011B3C"/>
        </w:rPr>
        <w:t>Je kunt de rol en positie van de nationale rechter als Europese rechter uitleggen en analyseren.</w:t>
      </w:r>
    </w:p>
    <w:p w14:paraId="6688E8F8" w14:textId="77777777" w:rsidR="00A80233" w:rsidRPr="00A80233" w:rsidRDefault="00A80233" w:rsidP="00A80233">
      <w:pPr>
        <w:numPr>
          <w:ilvl w:val="0"/>
          <w:numId w:val="1"/>
        </w:numPr>
        <w:shd w:val="clear" w:color="auto" w:fill="FFFFFF"/>
        <w:spacing w:before="100" w:beforeAutospacing="1" w:after="100" w:afterAutospacing="1" w:line="360" w:lineRule="atLeast"/>
        <w:ind w:left="1035" w:right="300"/>
        <w:rPr>
          <w:rFonts w:ascii="Helvetica" w:hAnsi="Helvetica" w:cs="Helvetica"/>
          <w:color w:val="011B3C"/>
        </w:rPr>
      </w:pPr>
      <w:r w:rsidRPr="00A80233">
        <w:rPr>
          <w:rFonts w:ascii="Helvetica" w:hAnsi="Helvetica" w:cs="Helvetica"/>
          <w:color w:val="011B3C"/>
        </w:rPr>
        <w:t xml:space="preserve">Je bent in staat de regels </w:t>
      </w:r>
      <w:proofErr w:type="gramStart"/>
      <w:r w:rsidRPr="00A80233">
        <w:rPr>
          <w:rFonts w:ascii="Helvetica" w:hAnsi="Helvetica" w:cs="Helvetica"/>
          <w:color w:val="011B3C"/>
        </w:rPr>
        <w:t>omtrent</w:t>
      </w:r>
      <w:proofErr w:type="gramEnd"/>
      <w:r w:rsidRPr="00A80233">
        <w:rPr>
          <w:rFonts w:ascii="Helvetica" w:hAnsi="Helvetica" w:cs="Helvetica"/>
          <w:color w:val="011B3C"/>
        </w:rPr>
        <w:t xml:space="preserve"> de doorwerking van het EU-recht uit te leggen en toe te passen in een op feiten gebaseerde casus.</w:t>
      </w:r>
    </w:p>
    <w:p w14:paraId="2D5E56B9" w14:textId="77777777" w:rsidR="00A80233" w:rsidRPr="00A80233" w:rsidRDefault="00A80233" w:rsidP="00A80233">
      <w:pPr>
        <w:shd w:val="clear" w:color="auto" w:fill="FFFFFF"/>
        <w:spacing w:after="75" w:line="347" w:lineRule="atLeast"/>
        <w:outlineLvl w:val="2"/>
        <w:rPr>
          <w:rFonts w:ascii="Helvetica" w:hAnsi="Helvetica" w:cs="Helvetica"/>
          <w:b/>
          <w:bCs/>
          <w:color w:val="011B3C"/>
          <w:sz w:val="33"/>
          <w:szCs w:val="33"/>
        </w:rPr>
      </w:pPr>
      <w:r w:rsidRPr="00A80233">
        <w:rPr>
          <w:rFonts w:ascii="Helvetica" w:hAnsi="Helvetica" w:cs="Helvetica"/>
          <w:b/>
          <w:bCs/>
          <w:color w:val="011B3C"/>
          <w:sz w:val="33"/>
          <w:szCs w:val="33"/>
        </w:rPr>
        <w:t>Voorwaarden</w:t>
      </w:r>
    </w:p>
    <w:p w14:paraId="1731CEE0" w14:textId="77777777" w:rsidR="00A80233" w:rsidRPr="00A80233" w:rsidRDefault="00A80233" w:rsidP="00A80233">
      <w:pPr>
        <w:shd w:val="clear" w:color="auto" w:fill="FFFFFF"/>
        <w:spacing w:after="240" w:line="360" w:lineRule="atLeast"/>
        <w:rPr>
          <w:rFonts w:ascii="Helvetica" w:hAnsi="Helvetica" w:cs="Helvetica"/>
          <w:color w:val="011B3C"/>
        </w:rPr>
      </w:pPr>
      <w:r w:rsidRPr="00A80233">
        <w:rPr>
          <w:rFonts w:ascii="Helvetica" w:hAnsi="Helvetica" w:cs="Helvetica"/>
          <w:color w:val="011B3C"/>
        </w:rPr>
        <w:t>n.v.t.</w:t>
      </w:r>
    </w:p>
    <w:p w14:paraId="6CDA2EC7" w14:textId="77777777" w:rsidR="00A80233" w:rsidRPr="00A80233" w:rsidRDefault="00A80233" w:rsidP="00A80233">
      <w:pPr>
        <w:shd w:val="clear" w:color="auto" w:fill="FFFFFF"/>
        <w:spacing w:after="75" w:line="347" w:lineRule="atLeast"/>
        <w:outlineLvl w:val="2"/>
        <w:rPr>
          <w:rFonts w:ascii="Helvetica" w:hAnsi="Helvetica" w:cs="Helvetica"/>
          <w:b/>
          <w:bCs/>
          <w:color w:val="011B3C"/>
          <w:sz w:val="33"/>
          <w:szCs w:val="33"/>
        </w:rPr>
      </w:pPr>
      <w:r w:rsidRPr="00A80233">
        <w:rPr>
          <w:rFonts w:ascii="Helvetica" w:hAnsi="Helvetica" w:cs="Helvetica"/>
          <w:b/>
          <w:bCs/>
          <w:color w:val="011B3C"/>
          <w:sz w:val="33"/>
          <w:szCs w:val="33"/>
        </w:rPr>
        <w:t>Aanbevolen literatuur</w:t>
      </w:r>
    </w:p>
    <w:p w14:paraId="09418C78" w14:textId="77777777" w:rsidR="00A80233" w:rsidRPr="00A80233" w:rsidRDefault="00A80233" w:rsidP="00A80233">
      <w:pPr>
        <w:numPr>
          <w:ilvl w:val="0"/>
          <w:numId w:val="2"/>
        </w:numPr>
        <w:shd w:val="clear" w:color="auto" w:fill="FFFFFF"/>
        <w:spacing w:before="100" w:beforeAutospacing="1" w:after="100" w:afterAutospacing="1" w:line="360" w:lineRule="atLeast"/>
        <w:ind w:left="1035" w:right="300"/>
        <w:rPr>
          <w:rFonts w:ascii="Helvetica" w:hAnsi="Helvetica" w:cs="Helvetica"/>
          <w:color w:val="011B3C"/>
        </w:rPr>
      </w:pPr>
      <w:r w:rsidRPr="00A80233">
        <w:rPr>
          <w:rFonts w:ascii="Helvetica" w:hAnsi="Helvetica" w:cs="Helvetica"/>
          <w:color w:val="011B3C"/>
        </w:rPr>
        <w:t xml:space="preserve">J.W. Van de Gronden (et al.), Kern van het Europees recht, Den Haag: </w:t>
      </w:r>
      <w:proofErr w:type="spellStart"/>
      <w:r w:rsidRPr="00A80233">
        <w:rPr>
          <w:rFonts w:ascii="Helvetica" w:hAnsi="Helvetica" w:cs="Helvetica"/>
          <w:color w:val="011B3C"/>
        </w:rPr>
        <w:t>Boomjuridisch</w:t>
      </w:r>
      <w:proofErr w:type="spellEnd"/>
      <w:r w:rsidRPr="00A80233">
        <w:rPr>
          <w:rFonts w:ascii="Helvetica" w:hAnsi="Helvetica" w:cs="Helvetica"/>
          <w:color w:val="011B3C"/>
        </w:rPr>
        <w:t>, tweede druk.</w:t>
      </w:r>
    </w:p>
    <w:p w14:paraId="32B69AF5" w14:textId="77777777" w:rsidR="00A80233" w:rsidRPr="00A80233" w:rsidRDefault="00A80233" w:rsidP="00A80233">
      <w:pPr>
        <w:numPr>
          <w:ilvl w:val="0"/>
          <w:numId w:val="2"/>
        </w:numPr>
        <w:shd w:val="clear" w:color="auto" w:fill="FFFFFF"/>
        <w:spacing w:before="100" w:beforeAutospacing="1" w:after="100" w:afterAutospacing="1" w:line="360" w:lineRule="atLeast"/>
        <w:ind w:left="1035" w:right="300"/>
        <w:rPr>
          <w:rFonts w:ascii="Helvetica" w:hAnsi="Helvetica" w:cs="Helvetica"/>
          <w:color w:val="011B3C"/>
        </w:rPr>
      </w:pPr>
      <w:r w:rsidRPr="00A80233">
        <w:rPr>
          <w:rFonts w:ascii="Helvetica" w:hAnsi="Helvetica" w:cs="Helvetica"/>
          <w:color w:val="011B3C"/>
        </w:rPr>
        <w:t>Voorgeschreven jurisprudentie vermeld op Canvas</w:t>
      </w:r>
    </w:p>
    <w:p w14:paraId="6B6B1F14" w14:textId="77777777" w:rsidR="00BE1B18" w:rsidRDefault="00BE1B18"/>
    <w:sectPr w:rsidR="00BE1B18">
      <w:pgSz w:w="11906" w:h="16838" w:code="9"/>
      <w:pgMar w:top="1701" w:right="454" w:bottom="1701"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B2B7D"/>
    <w:multiLevelType w:val="multilevel"/>
    <w:tmpl w:val="1890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24A0C"/>
    <w:multiLevelType w:val="multilevel"/>
    <w:tmpl w:val="F56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936593">
    <w:abstractNumId w:val="1"/>
  </w:num>
  <w:num w:numId="2" w16cid:durableId="594284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33"/>
    <w:rsid w:val="003B0708"/>
    <w:rsid w:val="00A80233"/>
    <w:rsid w:val="00BE1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8FB12"/>
  <w15:chartTrackingRefBased/>
  <w15:docId w15:val="{A814F987-6B1F-4C1F-823B-2052E26C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72291">
      <w:bodyDiv w:val="1"/>
      <w:marLeft w:val="0"/>
      <w:marRight w:val="0"/>
      <w:marTop w:val="0"/>
      <w:marBottom w:val="0"/>
      <w:divBdr>
        <w:top w:val="none" w:sz="0" w:space="0" w:color="auto"/>
        <w:left w:val="none" w:sz="0" w:space="0" w:color="auto"/>
        <w:bottom w:val="none" w:sz="0" w:space="0" w:color="auto"/>
        <w:right w:val="none" w:sz="0" w:space="0" w:color="auto"/>
      </w:divBdr>
      <w:divsChild>
        <w:div w:id="1049645384">
          <w:marLeft w:val="0"/>
          <w:marRight w:val="0"/>
          <w:marTop w:val="300"/>
          <w:marBottom w:val="0"/>
          <w:divBdr>
            <w:top w:val="dashed" w:sz="6" w:space="8" w:color="999999"/>
            <w:left w:val="none" w:sz="0" w:space="0" w:color="auto"/>
            <w:bottom w:val="none" w:sz="0" w:space="0" w:color="auto"/>
            <w:right w:val="none" w:sz="0" w:space="0" w:color="auto"/>
          </w:divBdr>
        </w:div>
        <w:div w:id="1461070360">
          <w:marLeft w:val="0"/>
          <w:marRight w:val="0"/>
          <w:marTop w:val="300"/>
          <w:marBottom w:val="0"/>
          <w:divBdr>
            <w:top w:val="dashed" w:sz="6" w:space="8" w:color="999999"/>
            <w:left w:val="none" w:sz="0" w:space="0" w:color="auto"/>
            <w:bottom w:val="none" w:sz="0" w:space="0" w:color="auto"/>
            <w:right w:val="none" w:sz="0" w:space="0" w:color="auto"/>
          </w:divBdr>
        </w:div>
        <w:div w:id="1796100127">
          <w:marLeft w:val="0"/>
          <w:marRight w:val="0"/>
          <w:marTop w:val="300"/>
          <w:marBottom w:val="0"/>
          <w:divBdr>
            <w:top w:val="dashed" w:sz="6" w:space="8" w:color="999999"/>
            <w:left w:val="none" w:sz="0" w:space="0" w:color="auto"/>
            <w:bottom w:val="none" w:sz="0" w:space="0" w:color="auto"/>
            <w:right w:val="none" w:sz="0" w:space="0" w:color="auto"/>
          </w:divBdr>
        </w:div>
        <w:div w:id="446394691">
          <w:marLeft w:val="0"/>
          <w:marRight w:val="0"/>
          <w:marTop w:val="300"/>
          <w:marBottom w:val="0"/>
          <w:divBdr>
            <w:top w:val="dashed" w:sz="6" w:space="8" w:color="999999"/>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2710</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jurist familierecht</dc:creator>
  <cp:keywords/>
  <dc:description/>
  <cp:lastModifiedBy>Max jurist familierecht</cp:lastModifiedBy>
  <cp:revision>1</cp:revision>
  <dcterms:created xsi:type="dcterms:W3CDTF">2024-04-04T11:24:00Z</dcterms:created>
  <dcterms:modified xsi:type="dcterms:W3CDTF">2024-04-04T11:25:00Z</dcterms:modified>
</cp:coreProperties>
</file>