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proofErr w:type="spellStart"/>
            <w:r w:rsidRPr="00EC56CA">
              <w:rPr>
                <w:rFonts w:ascii="Times New Roman" w:hAnsi="Times New Roman" w:cs="Times New Roman"/>
                <w:b/>
                <w:bCs/>
              </w:rPr>
              <w:t>StockCode</w:t>
            </w:r>
            <w:proofErr w:type="spellEnd"/>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proofErr w:type="spellStart"/>
            <w:r w:rsidRPr="00CF7896">
              <w:rPr>
                <w:rFonts w:ascii="Times New Roman" w:hAnsi="Times New Roman" w:cs="Times New Roman"/>
                <w:b/>
                <w:bCs/>
              </w:rPr>
              <w:t>InvoiceDate</w:t>
            </w:r>
            <w:proofErr w:type="spellEnd"/>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hint="eastAsia"/>
                <w:b/>
                <w:bCs/>
                <w:sz w:val="16"/>
                <w:szCs w:val="16"/>
              </w:rPr>
              <w:t>Stockcode</w:t>
            </w:r>
            <w:proofErr w:type="spellEnd"/>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b/>
                <w:bCs/>
                <w:sz w:val="16"/>
                <w:szCs w:val="16"/>
              </w:rPr>
              <w:t>InvoiceDate</w:t>
            </w:r>
            <w:proofErr w:type="spellEnd"/>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AvgUnitPrice</w:t>
            </w:r>
            <w:proofErr w:type="spellEnd"/>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UniqueItems</w:t>
            </w:r>
            <w:proofErr w:type="spellEnd"/>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roofErr w:type="spellEnd"/>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AvgUnitPrice</w:t>
            </w:r>
            <w:proofErr w:type="spellEnd"/>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UniqueItems</w:t>
            </w:r>
            <w:proofErr w:type="spellEnd"/>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AvgQuantPerOrder</w:t>
            </w:r>
            <w:proofErr w:type="spellEnd"/>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AvgUnitPrice</w:t>
      </w:r>
      <w:proofErr w:type="spellEnd"/>
      <w:r w:rsidR="00BA24CE" w:rsidRPr="00BA24CE">
        <w:rPr>
          <w:rFonts w:ascii="Times New Roman" w:hAnsi="Times New Roman" w:cs="Times New Roman"/>
        </w:rPr>
        <w:t xml:space="preserv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UniqueItems</w:t>
      </w:r>
      <w:proofErr w:type="spellEnd"/>
      <w:r w:rsidR="00BA24CE" w:rsidRPr="00BA24CE">
        <w:rPr>
          <w:rFonts w:ascii="Times New Roman" w:hAnsi="Times New Roman" w:cs="Times New Roman"/>
        </w:rPr>
        <w:t xml:space="preserve">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AvgQuantPerOrder</w:t>
      </w:r>
      <w:proofErr w:type="spellEnd"/>
      <w:r w:rsidR="00BA24CE" w:rsidRPr="00BA24CE">
        <w:rPr>
          <w:rFonts w:ascii="Times New Roman" w:hAnsi="Times New Roman" w:cs="Times New Roman"/>
        </w:rPr>
        <w:t xml:space="preserve">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AvgUnitPrice</w:t>
            </w:r>
            <w:proofErr w:type="spellEnd"/>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UniqueItems</w:t>
            </w:r>
            <w:proofErr w:type="spellEnd"/>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AvgQuantPerOrder</w:t>
            </w:r>
            <w:proofErr w:type="spellEnd"/>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AvgUnitPrice</w:t>
            </w:r>
            <w:proofErr w:type="spellEnd"/>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UniqueItems</w:t>
            </w:r>
            <w:proofErr w:type="spellEnd"/>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AvgQuantPerOrder</w:t>
            </w:r>
            <w:proofErr w:type="spellEnd"/>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proofErr w:type="spellStart"/>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roofErr w:type="spellEnd"/>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 xml:space="preserve">Figure 2.2: </w:t>
      </w:r>
      <w:proofErr w:type="gramStart"/>
      <w:r>
        <w:rPr>
          <w:rFonts w:ascii="Times New Roman" w:hAnsi="Times New Roman" w:cs="Times New Roman" w:hint="eastAsia"/>
        </w:rPr>
        <w:t>Principle</w:t>
      </w:r>
      <w:proofErr w:type="gramEnd"/>
      <w:r>
        <w:rPr>
          <w:rFonts w:ascii="Times New Roman" w:hAnsi="Times New Roman" w:cs="Times New Roman" w:hint="eastAsia"/>
        </w:rPr>
        <w:t xml:space="preserve"> components and each explained variance ratio</w:t>
      </w:r>
    </w:p>
    <w:p w14:paraId="32183E86" w14:textId="11AC6CB0" w:rsidR="00F00A84" w:rsidRPr="00F00A84" w:rsidRDefault="00F00A84" w:rsidP="00F00A84">
      <w:pPr>
        <w:spacing w:before="240"/>
        <w:jc w:val="both"/>
        <w:rPr>
          <w:rFonts w:ascii="Times New Roman" w:hAnsi="Times New Roman" w:cs="Times New Roman"/>
        </w:rPr>
      </w:pPr>
      <w:r w:rsidRPr="00F00A84">
        <w:rPr>
          <w:rFonts w:ascii="Times New Roman" w:hAnsi="Times New Roman" w:cs="Times New Roman"/>
          <w:b/>
          <w:bCs/>
        </w:rPr>
        <w:t>PC1 (37.3%): Customer Value and Activity</w:t>
      </w:r>
      <w:r w:rsidRPr="00F00A84">
        <w:rPr>
          <w:rFonts w:ascii="Times New Roman" w:hAnsi="Times New Roman" w:cs="Times New Roman"/>
          <w:b/>
          <w:bCs/>
        </w:rPr>
        <w:br/>
      </w:r>
      <w:r w:rsidRPr="00F00A84">
        <w:rPr>
          <w:rFonts w:ascii="Times New Roman" w:hAnsi="Times New Roman" w:cs="Times New Roman"/>
        </w:rPr>
        <w:t xml:space="preserve">PC1 shows strong positive loadings on Frequency, Monetary, and </w:t>
      </w:r>
      <w:proofErr w:type="spellStart"/>
      <w:r w:rsidRPr="00F00A84">
        <w:rPr>
          <w:rFonts w:ascii="Times New Roman" w:hAnsi="Times New Roman" w:cs="Times New Roman"/>
        </w:rPr>
        <w:t>UniqueItems</w:t>
      </w:r>
      <w:proofErr w:type="spellEnd"/>
      <w:r w:rsidRPr="00F00A84">
        <w:rPr>
          <w:rFonts w:ascii="Times New Roman" w:hAnsi="Times New Roman" w:cs="Times New Roman"/>
        </w:rPr>
        <w:t>, and a negative loading on Recency. It reflects overall customer value and engagement: higher PC1 scores correspond to customers who purchase more frequently, spend more, and buy a wider variety of products.PC2 (18.6%): Bulk or Wholesale Purchasing Behavior</w:t>
      </w:r>
    </w:p>
    <w:p w14:paraId="41565075" w14:textId="115E825B" w:rsidR="00F00A84" w:rsidRDefault="00F00A84" w:rsidP="00F00A84">
      <w:pPr>
        <w:spacing w:before="240"/>
        <w:jc w:val="both"/>
        <w:rPr>
          <w:rFonts w:ascii="Times New Roman" w:hAnsi="Times New Roman" w:cs="Times New Roman" w:hint="eastAsia"/>
        </w:rPr>
      </w:pPr>
      <w:r w:rsidRPr="00F00A84">
        <w:rPr>
          <w:rFonts w:ascii="Times New Roman" w:hAnsi="Times New Roman" w:cs="Times New Roman"/>
          <w:b/>
          <w:bCs/>
        </w:rPr>
        <w:t>PC2 (18.6%): Bulk or Wholesale Purchasing Behavior</w:t>
      </w:r>
      <w:r w:rsidRPr="00F00A84">
        <w:rPr>
          <w:rFonts w:ascii="Times New Roman" w:hAnsi="Times New Roman" w:cs="Times New Roman"/>
        </w:rPr>
        <w:br/>
        <w:t xml:space="preserve">PC2 is primarily driven by </w:t>
      </w:r>
      <w:proofErr w:type="spellStart"/>
      <w:r w:rsidRPr="00F00A84">
        <w:rPr>
          <w:rFonts w:ascii="Times New Roman" w:hAnsi="Times New Roman" w:cs="Times New Roman"/>
        </w:rPr>
        <w:t>AvgQuantPerOrder</w:t>
      </w:r>
      <w:proofErr w:type="spellEnd"/>
      <w:r w:rsidRPr="00F00A84">
        <w:rPr>
          <w:rFonts w:ascii="Times New Roman" w:hAnsi="Times New Roman" w:cs="Times New Roman"/>
        </w:rPr>
        <w:t>, indicating customers who buy large quantities in a single order. Higher PC2 scores suggest wholesale or corporate purchasing behavior.</w:t>
      </w:r>
    </w:p>
    <w:p w14:paraId="215C7382" w14:textId="77777777" w:rsidR="00F00A84" w:rsidRDefault="00F00A84" w:rsidP="00F00A84">
      <w:pPr>
        <w:spacing w:before="240"/>
        <w:jc w:val="both"/>
        <w:rPr>
          <w:rFonts w:ascii="Times New Roman" w:hAnsi="Times New Roman" w:cs="Times New Roman"/>
        </w:rPr>
      </w:pPr>
      <w:r w:rsidRPr="00F00A84">
        <w:rPr>
          <w:rFonts w:ascii="Times New Roman" w:hAnsi="Times New Roman" w:cs="Times New Roman"/>
          <w:b/>
          <w:bCs/>
        </w:rPr>
        <w:t>PC3 (16.6%): Unit Price Preference</w:t>
      </w:r>
      <w:r w:rsidRPr="00F00A84">
        <w:rPr>
          <w:rFonts w:ascii="Times New Roman" w:hAnsi="Times New Roman" w:cs="Times New Roman"/>
          <w:b/>
          <w:bCs/>
        </w:rPr>
        <w:br/>
      </w:r>
      <w:r w:rsidRPr="00F00A84">
        <w:rPr>
          <w:rFonts w:ascii="Times New Roman" w:hAnsi="Times New Roman" w:cs="Times New Roman"/>
        </w:rPr>
        <w:t xml:space="preserve">PC3 is dominated by </w:t>
      </w:r>
      <w:proofErr w:type="spellStart"/>
      <w:r w:rsidRPr="00F00A84">
        <w:rPr>
          <w:rFonts w:ascii="Times New Roman" w:hAnsi="Times New Roman" w:cs="Times New Roman"/>
        </w:rPr>
        <w:t>AvgUnitPrice</w:t>
      </w:r>
      <w:proofErr w:type="spellEnd"/>
      <w:r w:rsidRPr="00F00A84">
        <w:rPr>
          <w:rFonts w:ascii="Times New Roman" w:hAnsi="Times New Roman" w:cs="Times New Roman"/>
        </w:rPr>
        <w:t xml:space="preserve"> and captures customers’ preference for higher- or lower-priced items.</w:t>
      </w:r>
    </w:p>
    <w:p w14:paraId="5D6FB94E" w14:textId="72C80150" w:rsidR="00F00A84" w:rsidRDefault="00F00A84" w:rsidP="00F00A84">
      <w:pPr>
        <w:spacing w:before="240"/>
        <w:jc w:val="both"/>
        <w:rPr>
          <w:rFonts w:ascii="Times New Roman" w:hAnsi="Times New Roman" w:cs="Times New Roman"/>
        </w:rPr>
      </w:pPr>
      <w:r w:rsidRPr="00F00A84">
        <w:rPr>
          <w:rFonts w:ascii="Times New Roman" w:hAnsi="Times New Roman" w:cs="Times New Roman"/>
          <w:b/>
          <w:bCs/>
        </w:rPr>
        <w:t>PC4 (14.2%): Recency-Driven Behavior</w:t>
      </w:r>
      <w:r w:rsidRPr="00F00A84">
        <w:rPr>
          <w:rFonts w:ascii="Times New Roman" w:hAnsi="Times New Roman" w:cs="Times New Roman"/>
        </w:rPr>
        <w:br/>
        <w:t>PC4 is heavily influenced by Recency, representing how recently customers made their last purchase.</w:t>
      </w:r>
    </w:p>
    <w:p w14:paraId="2F287855" w14:textId="7BD51C03" w:rsidR="00F00A84" w:rsidRDefault="00F00A84" w:rsidP="00F00A84">
      <w:pPr>
        <w:spacing w:before="240"/>
        <w:jc w:val="both"/>
        <w:rPr>
          <w:rFonts w:ascii="Times New Roman" w:hAnsi="Times New Roman" w:cs="Times New Roman"/>
        </w:rPr>
      </w:pPr>
      <w:r w:rsidRPr="00F00A84">
        <w:rPr>
          <w:rFonts w:ascii="Times New Roman" w:hAnsi="Times New Roman" w:cs="Times New Roman"/>
          <w:b/>
          <w:bCs/>
        </w:rPr>
        <w:t>PC5 (8.8%): High-Price but Low-Diversity Purchases</w:t>
      </w:r>
      <w:r w:rsidRPr="00F00A84">
        <w:rPr>
          <w:rFonts w:ascii="Times New Roman" w:hAnsi="Times New Roman" w:cs="Times New Roman"/>
        </w:rPr>
        <w:br/>
        <w:t>PC5 reflects customers who tend to buy expensive items but with relatively low product variety.</w:t>
      </w:r>
    </w:p>
    <w:p w14:paraId="54C25A91" w14:textId="77FDDB6F" w:rsidR="00F00A84" w:rsidRDefault="00F00A84" w:rsidP="00F00A84">
      <w:pPr>
        <w:spacing w:before="240"/>
        <w:jc w:val="both"/>
        <w:rPr>
          <w:rFonts w:ascii="Times New Roman" w:hAnsi="Times New Roman" w:cs="Times New Roman"/>
        </w:rPr>
      </w:pPr>
      <w:r w:rsidRPr="00F00A84">
        <w:rPr>
          <w:rFonts w:ascii="Times New Roman" w:hAnsi="Times New Roman" w:cs="Times New Roman"/>
          <w:b/>
          <w:bCs/>
        </w:rPr>
        <w:t>PC6 (4.5%): Frequent Purchases of the Same Item</w:t>
      </w:r>
      <w:r w:rsidRPr="00F00A84">
        <w:rPr>
          <w:rFonts w:ascii="Times New Roman" w:hAnsi="Times New Roman" w:cs="Times New Roman"/>
        </w:rPr>
        <w:b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hint="eastAsia"/>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hint="eastAsia"/>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hint="eastAsia"/>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hint="eastAsia"/>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hint="eastAsia"/>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hint="eastAsia"/>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 xml:space="preserve">The 3D PCA plot (PC1–PC3) shows that customer behaviors lie on three major dimensions: PC1 represents customer value and activity (high Frequency, Monetary, and </w:t>
      </w:r>
      <w:proofErr w:type="spellStart"/>
      <w:r w:rsidRPr="009D66E3">
        <w:rPr>
          <w:rFonts w:ascii="Times New Roman" w:hAnsi="Times New Roman" w:cs="Times New Roman"/>
        </w:rPr>
        <w:t>UniqueItems</w:t>
      </w:r>
      <w:proofErr w:type="spellEnd"/>
      <w:r w:rsidRPr="009D66E3">
        <w:rPr>
          <w:rFonts w:ascii="Times New Roman" w:hAnsi="Times New Roman" w:cs="Times New Roman"/>
        </w:rPr>
        <w:t xml:space="preserve">), PC2 captures bulk purchasing behavior (high </w:t>
      </w:r>
      <w:proofErr w:type="spellStart"/>
      <w:r w:rsidRPr="009D66E3">
        <w:rPr>
          <w:rFonts w:ascii="Times New Roman" w:hAnsi="Times New Roman" w:cs="Times New Roman"/>
        </w:rPr>
        <w:t>AvgQuantPerOrder</w:t>
      </w:r>
      <w:proofErr w:type="spellEnd"/>
      <w:r w:rsidRPr="009D66E3">
        <w:rPr>
          <w:rFonts w:ascii="Times New Roman" w:hAnsi="Times New Roman" w:cs="Times New Roman"/>
        </w:rPr>
        <w:t>),</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hint="eastAsia"/>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7777777" w:rsidR="009D66E3" w:rsidRPr="009D66E3" w:rsidRDefault="009D66E3" w:rsidP="009D66E3">
      <w:pPr>
        <w:jc w:val="both"/>
        <w:rPr>
          <w:rFonts w:ascii="Times New Roman" w:hAnsi="Times New Roman" w:cs="Times New Roman" w:hint="eastAsia"/>
        </w:rPr>
      </w:pPr>
    </w:p>
    <w:sectPr w:rsidR="009D66E3" w:rsidRPr="009D66E3"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BFA37" w14:textId="77777777" w:rsidR="00434224" w:rsidRDefault="00434224" w:rsidP="002A11CC">
      <w:pPr>
        <w:spacing w:after="0" w:line="240" w:lineRule="auto"/>
      </w:pPr>
      <w:r>
        <w:separator/>
      </w:r>
    </w:p>
  </w:endnote>
  <w:endnote w:type="continuationSeparator" w:id="0">
    <w:p w14:paraId="5A62E8C1" w14:textId="77777777" w:rsidR="00434224" w:rsidRDefault="00434224"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E190F" w14:textId="77777777" w:rsidR="00434224" w:rsidRDefault="00434224" w:rsidP="002A11CC">
      <w:pPr>
        <w:spacing w:after="0" w:line="240" w:lineRule="auto"/>
      </w:pPr>
      <w:r>
        <w:separator/>
      </w:r>
    </w:p>
  </w:footnote>
  <w:footnote w:type="continuationSeparator" w:id="0">
    <w:p w14:paraId="7502816A" w14:textId="77777777" w:rsidR="00434224" w:rsidRDefault="00434224"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561091233">
    <w:abstractNumId w:val="3"/>
  </w:num>
  <w:num w:numId="2" w16cid:durableId="769012232">
    <w:abstractNumId w:val="4"/>
  </w:num>
  <w:num w:numId="3" w16cid:durableId="185872458">
    <w:abstractNumId w:val="2"/>
  </w:num>
  <w:num w:numId="4" w16cid:durableId="574558343">
    <w:abstractNumId w:val="7"/>
  </w:num>
  <w:num w:numId="5" w16cid:durableId="636179128">
    <w:abstractNumId w:val="6"/>
  </w:num>
  <w:num w:numId="6" w16cid:durableId="120618856">
    <w:abstractNumId w:val="1"/>
  </w:num>
  <w:num w:numId="7" w16cid:durableId="1423719406">
    <w:abstractNumId w:val="0"/>
  </w:num>
  <w:num w:numId="8" w16cid:durableId="14608793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2109C"/>
    <w:rsid w:val="0002582F"/>
    <w:rsid w:val="00043BB2"/>
    <w:rsid w:val="0007229D"/>
    <w:rsid w:val="000C0005"/>
    <w:rsid w:val="000D18DC"/>
    <w:rsid w:val="00102719"/>
    <w:rsid w:val="0018603E"/>
    <w:rsid w:val="00230405"/>
    <w:rsid w:val="002310B5"/>
    <w:rsid w:val="00234737"/>
    <w:rsid w:val="00286947"/>
    <w:rsid w:val="002A11CC"/>
    <w:rsid w:val="002A2078"/>
    <w:rsid w:val="002B43ED"/>
    <w:rsid w:val="002E267B"/>
    <w:rsid w:val="0033056B"/>
    <w:rsid w:val="00337F99"/>
    <w:rsid w:val="00372A94"/>
    <w:rsid w:val="00406617"/>
    <w:rsid w:val="00413409"/>
    <w:rsid w:val="00434224"/>
    <w:rsid w:val="00436BE3"/>
    <w:rsid w:val="00451C3A"/>
    <w:rsid w:val="0048463D"/>
    <w:rsid w:val="00495F75"/>
    <w:rsid w:val="004D67D6"/>
    <w:rsid w:val="004E2E16"/>
    <w:rsid w:val="004F3928"/>
    <w:rsid w:val="00504199"/>
    <w:rsid w:val="00507069"/>
    <w:rsid w:val="00553389"/>
    <w:rsid w:val="005A441E"/>
    <w:rsid w:val="005A4F8A"/>
    <w:rsid w:val="00600D3D"/>
    <w:rsid w:val="00620E09"/>
    <w:rsid w:val="00684EA9"/>
    <w:rsid w:val="006A14BC"/>
    <w:rsid w:val="006E1436"/>
    <w:rsid w:val="007E5740"/>
    <w:rsid w:val="007F19BA"/>
    <w:rsid w:val="00810EEF"/>
    <w:rsid w:val="00833599"/>
    <w:rsid w:val="008525EA"/>
    <w:rsid w:val="008C1147"/>
    <w:rsid w:val="008D35D3"/>
    <w:rsid w:val="008D78CB"/>
    <w:rsid w:val="008E774C"/>
    <w:rsid w:val="008F0DB6"/>
    <w:rsid w:val="00946FC7"/>
    <w:rsid w:val="00957FEF"/>
    <w:rsid w:val="009D66E3"/>
    <w:rsid w:val="00A519BD"/>
    <w:rsid w:val="00AA6C52"/>
    <w:rsid w:val="00AE2907"/>
    <w:rsid w:val="00B04D38"/>
    <w:rsid w:val="00B105FB"/>
    <w:rsid w:val="00B46A1F"/>
    <w:rsid w:val="00BA24CE"/>
    <w:rsid w:val="00BA74D7"/>
    <w:rsid w:val="00BC5658"/>
    <w:rsid w:val="00BC5F98"/>
    <w:rsid w:val="00BD544F"/>
    <w:rsid w:val="00BF6916"/>
    <w:rsid w:val="00CE23E8"/>
    <w:rsid w:val="00CF4137"/>
    <w:rsid w:val="00CF7896"/>
    <w:rsid w:val="00D10635"/>
    <w:rsid w:val="00D9447B"/>
    <w:rsid w:val="00DA7EB1"/>
    <w:rsid w:val="00DD01F9"/>
    <w:rsid w:val="00DD48C0"/>
    <w:rsid w:val="00E344EB"/>
    <w:rsid w:val="00E71DAE"/>
    <w:rsid w:val="00EB4461"/>
    <w:rsid w:val="00EC1386"/>
    <w:rsid w:val="00EC25DF"/>
    <w:rsid w:val="00EC56CA"/>
    <w:rsid w:val="00F00A84"/>
    <w:rsid w:val="00F135D7"/>
    <w:rsid w:val="00F668BF"/>
    <w:rsid w:val="00FA1CA1"/>
    <w:rsid w:val="00FC0D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C166FB-47A5-4CD6-9F51-EA338501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10</Pages>
  <Words>1369</Words>
  <Characters>7809</Characters>
  <Application>Microsoft Office Word</Application>
  <DocSecurity>0</DocSecurity>
  <Lines>65</Lines>
  <Paragraphs>18</Paragraphs>
  <ScaleCrop>false</ScaleCrop>
  <Company>HP</Company>
  <LinksUpToDate>false</LinksUpToDate>
  <CharactersWithSpaces>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25</cp:revision>
  <dcterms:created xsi:type="dcterms:W3CDTF">2025-11-17T08:52:00Z</dcterms:created>
  <dcterms:modified xsi:type="dcterms:W3CDTF">2025-11-26T17:27:00Z</dcterms:modified>
</cp:coreProperties>
</file>