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9,83%,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BURT, R. S. (2004). Structural Holes and Good Ideas. American Journal of Sociology, v. 110, n. 2, p. 349-399.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análise de betweenness centrality na SNA e o argumento de que negros têm betweenness=0 mesmo com pós-graduação.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Introduction (pp. 349–355) + seção 'Network Constraint and Brokerage' (pp. 355–370). São ~20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structural hole = posição de broker entre grupos que não se conectam diretamente. Alta betweenness = acesso antecipado a informação e oportunidades.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Burt (2004) + Wilson (1987) Cap. 1 (~60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0,747.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19,3%: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6,2%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6,2%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6,2%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(≈53,0%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une os três vértices do triângulo de evidências. Os 84% de dotações são explicados pelo logit (acesso a ocupações) e pela SNA (exclusão das redes). Os 16% de retornos são explicados pelo HLM M4 (6,2% de discriminação pura de remuneração). Os métodos são consistentes entre si.'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OR=0,704 — negros têm 29,6% menos chance. ICC M1=26,2% (variação entre UPAs elevada).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OR=0,747 — após controlar o contexto local, negros têm 25,3% menos chance. ICC M2=22,5%.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−1,30 p.p.: sem controle de contexto, negros têm 1,30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−1,07 p.p.: com efeito aleatório de UPA, o efeito líquido de ser negro é −1,07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ICC=26,2%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86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−3,2%; q50 ≈ −4,1%; q90 ≈ −7,1%;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9b — RIF-OB: Sticky Floor Discriminatório vs. Glass Ceiling por Dotações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0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f_ob_retornos_quant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RIF-OB incondicional por quantil (Firpo, Fortin &amp; Lemieux, 2018). Retornos (discriminação) vs Dotações por decil de renda.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decil/quantil da distribuição incondicional de renda (q10=base, q90=topo).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componentes empilhados por quantil: Dotações (diferença de características) e Retornos (discriminação pura — o que persiste mesmo com características iguais).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RIF = Recentered Influence Function — permite decompor o gap em qualquer quantil incondicionalmente, sem condicionar ao quantil dentro de cada grupo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padrão sticky floor vs. glass ceiling: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q10 — base: Dotações=61,3%, Retornos=33,1%. Discriminação de preço é 3× mais intensa na BASE — efeito sticky floor (chão pegajoso).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q50 — mediana: Dotações=57,4%, Retornos=21,5%. Discriminação decai progressivamente.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q90 — topo: Dotações=75,8%, Retornos=11,2%. No topo, o gap é quase inteiramente por dotações — negros são EXCLUÍDOS das posições rentáveis (glass ceiling).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QR formaliza o glass ceiling condicional — o gap cresce no topo dentro de cada grupo. O RIF-OB faz a decomposição incondicional — permite perguntar: de onde vem esse gap maior no topo? A resposta é: no topo o mecanismo dominante é exclusão (dotações = 75,8%), não discriminação salarial direta. Na base, a discriminação de preço ainda responde por 33,1% do gap — o sticky floor discriminatório. São dois fenômenos distintos que coexistem.'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9c — Interseccionalidade: Oaxaca-Blinder por 4 Grupos Raça × Gênero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Referência: Homem Branco. Comparação: Mulher Branca, Homem Negro, Mulher Negra.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Para cada grupo, o gap total é decomposto em Dotações (características) e Retornos (discriminação direta).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M4: coeficiente da interação negro×sexo_fem = β=+0,069 — indica atenuação do gap racial para mulheres (raça e gênero interagem, não se somam linearmente).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 por grupo (referência: Homem Branco):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Branca: gap=46,6% — 79% dotações / 109% retornos (retornos negativos, indicando discriminação de gênero pura). Sem penalidade de raça.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Homem Negro: gap=40,3% — 71% dotações / 29% retornos. Discriminação racial direta explica ~29% do gap do homem negro.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Negra: gap=96,4% — maior gap de todos os grupos. Penalidade adicional por interseccionalidade: +9,5 p.p. além da soma de raça + gênero separados.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Mulher Negra não sofre apenas raça + gênero de forma aditiva — existe uma penalidade adicional de +9,5 p.p. que emerge especificamente da combinação dos dois eixos de opressão. Isso é a interseccionalidade no sentido de Crenshaw (1989): os eixos interagem, não se somam. O HLM confirma com β_neg×fem=+0,069 (***) — a discriminação racial é estatisticamente menor para mulheres negras do que se esperaria da soma linear.'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'Gap de 96,4% para mulher negra vs 40,3% para homem negro: a mulher negra experimenta uma dupla desvantagem que quase dobra o gap. Políticas de gênero e raça precisam ser desenhadas conjuntamente para esse grupo.'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11 — Rede Social Ocupacional: Betweenness por Raça e Escolaridade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94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rede_demograf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Rede de co-ocupação. Nós = grupos de raça × educação. Tamanho do nó = betweenness centrality.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Nós: cada nó representa um grupo (ex: 'negro + superior completo', 'branco + médio').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Arestas: conexão = co-ocorrência na mesma ocupação/setor.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Tamanho do nó: proporcional à betweenness centrality — quão central o grupo é como ponte entre diferentes clusters da rede.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Cor/posição: grupos brancos tendem a ocupar o centro da rede; grupos negros ficam na periferia independente do nível educacional.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 com pós-graduação têm alta betweenness: são brokers que conectam grupos diferentes — acesso a vagas, informação e promoções (Burt, 2004).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 com pós-graduação têm betweenness ≈ 0: mesmo com as mesmas credenciais, não ocupam posições de ponte na rede. As credenciais 'valem menos' porque não convertem em acesso às redes de conversão.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SNA adiciona uma dimensão que o HLM e o logit não capturam: o capital social estrutural. Mesmo que um negro consiga entrar em uma ocupação qualificada, sua betweenness=0 significa que ele não tem acesso às redes informais que geram promoção, mentoria e informação antecipada sobre vagas. Isso explica parte do gap residual de 6,2% do HLM M4.'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12 — Gini por Setor (H1): Estado como Indutor de Desigualdade?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12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1_gin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Gini por setor (público vs privado) e decomposição de Theil T.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Gráfico de barras: Gini total (0,4879), público (0,4662) e privado (0,4715).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Gini menor no público = distribuição de renda mais igualitária dentro do setor público.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Decomposição de Theil T: 7,8% da desigualdade total é ENTRE os dois setores. Isso significa que a diferença de renda médio entre público e privado gera 7,8% da desigualdade agregada.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da hipótese H1: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estado REDUZ a desigualdade interna (Gini público &lt; privado), mas o prêmio salarial do servidor (+99,6% vs privado) cria uma divisão ENTRE setores que contribui 7,8% para a desigualdade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Conclusão de H1: o estado é simultaneamente redutor de desigualdade interna e gerador de desigualdade interssetorial. A resposta é 'ambos' — depende da perspectiva.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13 — Gaps Racial e de Gênero por Setor (H2/H3)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Gaps salariais controlados por raça e gênero no setor público vs privado.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agrupadas: cada par compara o gap no setor privado vs público, para raça (H2) e gênero (H3).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são coeficientes de regressão controlada (β do dummy negro ou sexo_fem), não diferenças brutas.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racial bruto: privado −44,1% / público −33,3%. Controlado: privado −29,2% / público −25,2%.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de gênero: privado −16,9% / público −18,8% (após controles). O setor público tem gap de GÊNERO maior que o privado — o paradoxo H3.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do paradoxo H3: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concurso público iguala a entrada (não há discriminação no acesso ao cargo), mas a progressão de carreira e os cargos de confiança (DAS, cargos militares seniores, judiciário de topo) são preenchidos por nomeação e promoção, onde o viés de gênero persiste.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dentro do setor público, mulheres ficam presas nos cargos de entrada enquanto homens avançam — gap maior que no setor privado onde não há esse 'teto de vidro institucionalizado'.</w:t>
      </w:r>
    </w:p>
    <w:p/>
    <w:p>
      <w:pPr>
        <w:pStyle w:val="Heading2"/>
      </w:pPr>
      <w:r>
        <w:rPr>
          <w:rFonts w:ascii="Calibri" w:hAnsi="Calibri"/>
          <w:color w:val="1F3864"/>
        </w:rPr>
        <w:t>Figura 14 — Renda Real e Emprego 2016–2025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23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tendenc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2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Renda real mediana (base IPCA 2016=100) e taxa de emprego 2016–2025.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esquerdo (linha): renda real mediana em R$ de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direito (barra ou linha pontilhada): taxa de emprego (% da PEA).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eixos no mesmo gráfico permitem ver a co-evolução das duas séries.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Emprego sobe consistentemente de 87–88% (2017–2020) para 94,4% em 2025 — máxima histórica.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Renda real cai de R$1.200 (2016) para R$1.106 (2022 — mínima), recupera para R$1.345 (2024) e recua novamente para R$1.283 em 2025.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Divergência entre emprego e renda real: confirma H4 — o crescimento do emprego no governo atual não se traduziu em prosperidade equivalente em termos reais.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nominal sobe (R$1.200→R$2.000), mas deflacionada pelo IPCA (base 2016=100) o ganho real é modesto e volátil.</w:t>
      </w:r>
    </w:p>
    <w:p/>
    <w:p>
      <w:pPr>
        <w:pStyle w:val="Heading2"/>
      </w:pPr>
      <w:r>
        <w:rPr>
          <w:rFonts w:ascii="Calibri" w:hAnsi="Calibri"/>
          <w:color w:val="1F3864"/>
        </w:rPr>
        <w:t>Figura 15 — Simulação de Inclusão Produtiva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75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inclusa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Ganho potencial de renda se negros tivessem a mesma distribuição CBO que brancos.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barras: renda média negra ATUAL vs renda CONTRAFACTUAL (se negros tivessem a mesma distribuição de CBO que brancos).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diferença entre as barras = +127,3% = ganho potencial de renda se a segregação ocupacional fosse eliminada.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Premissas da simulação: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Mantém os salários de cada grupo CBO constantes — só redistribui negros pelos grupos como se tivessem o perfil CBO dos brancos.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Proxy conservador: não considera mudança de produtividade, apenas redistribuição.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proxy de PIB (+74,3 p.p.) assume que negros representam 58% da força de trabalho e que o ganho de renda se traduz proporcionalmente em demanda agregada.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16 — Gap de Qualificação 2016–2025 (H5: Armadilha da Renda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00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5_armadilh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% de trabalhadores com alta qualificação por raça ao longo do tempo.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anos (2016–2025).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% de trabalhadores com alta qualificação (CBO grupos 1 e 2, ou superior completo com função compatível).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Três linhas: total, brancos e negros.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Brancos: 19,7% (2016) → 22,4% (2025) — crescimento de +2,7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Negros: 9,6% (2016) → 11,0% (2025) — crescimento de +1,4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As três linhas sobem em paralelo: o gap absoluto permanece praticamente constante (≈10 p.p.). Não há convergência.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é a armadilha da renda média: o Brasil eleva a qualificação geral, mas a desigualdade racial na qualificação não diminui — e sem quebrar essa barreira, o país não consegue sair da armadilha de renda média (Hsieh et al., 2019).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ICC=9,83%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9,83%,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ICC=9,83%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de Sensibilidade — Konfound, E-values e Oster δ*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(pkonfound): quantos casos precisariam ser trocados de trat./controle, ou qual % dos casos precisaria estar mal alocado, para reverter a conclusão. Quanto maior, mais robusto.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 (VanderWeele &amp; Ding, 2017): qual a magnitude mínima de uma variável omitida (como razão de risco) para anular o efeito observado. E-value ≥ 2 indica boa resistência.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qual proporção da variação total dos controles observados seria necessária nos não-observados para anular o efeito. δ* negativo confirma robustez (variáveis omitidas teriam que atuar na direção contrária).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HLM: M1=99,5%; M2=M3=98,8%; M4=98,5% — quase 100% dos casos precisariam ser mal alocados para reverter a conclusão de discriminação.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 subestima: gap OLS=43,8%–48,5% vs HLM=50,8%–53,0% (Δ=5,4–9,7 p.p.) — o viés de subestimação do OLS fica em torno de 9,7 p.p. em M1 e 5,4 p.p. em M4.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E-values GLMM: M1=2,174; M2=2,038 — variável omitida precisaria ter associação 2,0–2,2× com raça E com acesso a ocupações para eliminar o 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M1=−0,48; M2=−0,43; M4=−0,39 — todos negativos, confirmando que variáveis omitidas teriam que atenuar (não amplificar) para anular o gap.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endogeneidade ou variáveis omitidas: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'Testei três frameworks de sensibilidade independentes. O pkonfound mostra que seria necessário reclassificar ~99% das observações para reverter a conclusão — impossível dado o N=7,7 milhões. O E-value ≥2,0 exige que uma variável omitida tenha associação dobrada com raça E com renda simultaneamente — sem candidato plausível. E o Oster δ* negativo significa que a seleção nas variáveis omitidas teria que ser na direção oposta à seleção observada. Os três convergem: o resultado é robusto.'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Complementares — Heckman, Tendência Temporal e Event Study COVID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Correção de Seleção Amostral (Heckman):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Problema: analisamos apenas quem tem renda (PEA ocupada). A seleção para participar do mercado de trabalho pode ser endógena — se negros participam menos, o gap observado é subestimado.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Modelo de seleção (Probit 1ª etapa): educação, idade, número de filhos, presença de cônjuge → gera lambda de Mills (λ).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λ=−1,985 (***) — seleção amostral significativa e negativa. Gap OLS=−9,71% → Gap Heckman=−7,41% (Δ=+2,3 p.p.): o gap bruto estava SUBESTIMADO; negros mais excluídos do mercado atenuavam o gap aparente.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Tendência Temporal e Teste de Chow: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anual estimado: a discriminação racial mantém-se estável ao longo do período (tendência linear δ=0,0008/ano, não significativa).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Teste de Chow (2020): F(2,6)=7,012; p=0,027 — quebra estrutural significativa em 2020 (pandemia). O gap racial NÃO teve convergência pré-COVID.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Event Study COVID (DiD):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Tratamento: pós-2020 (COVID). Estimativa: τ=+0,015; SE=0,007; p=0,025.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Interpretação: a pandemia AMPLIOU o gap racial em 1,5 p.p. de log-renda — negros foram desproporcionalmente afetados pelo choque COVID.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 sobre essas análises: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Heckman resolve a crítica de que estamos vendo apenas os 'bem-sucedidos'. O resultado (λ negativo e gap que cresce com a correção) indica que a exclusão racial do mercado de trabalho é real e que os excluídos estariam em situação ainda pior.'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Chow e o DiD mostram que o gap não convergiu com o tempo — ao contrário, a pandemia o ampliou. Isso afasta a hipótese de convergência gradual pela educação e reforça a necessidade de intervenção estrutural.'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— Priorização de Políticas (TOPSIS, AHP, LP)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 (Pesquisa Operacional) transforma o diagnóstico empírico em recomendações de política priorizadas objetivamente. Sem PO, a dissertação terminaria com 'há discriminação' — com PO, termina com 'e aqui está a política mais custo-eficaz para combatê-la, formalmente justificada'.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Métodos: TOPSIS (ranking multicritério), AHP (pesos dos critérios, CR=0,004 ← consistente), LP (Programação Linear com restrição orçamentária), Pareto frontier (eficiência custo × impacto).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TOPSIS — Ranking de Políticas (critérios: impacto no gap, custo, viabilidade, prazo):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Cotas em CBO 1–4 (P1): CC=0,799 — política mais próxima da 'solução ideal'. Ataca diretamente o mecanismo de exclusão de acesso a ocupações qualificadas que explica 84% do gap via dotações.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Equidade Educacional (P2): CC=0,558 — segunda mais eficiente. Reduz o componente de dotações educacionais.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 Mentoria e Redes (P3): CC=0,388 — responde diretamente ao achado da SNA (betweenness=0 para negros = sem capital social estrutural).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#4 Transparência Salarial (P4): CC=0,324 — ataca os retornos diferenciais (16%).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PL-1 (Cotas CBO): projeta redução de 24% do gap bruto em simulações de LP.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AHP — Consistência dos Pesos: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CR=0,004 (&lt; 0,10 = aceitável). A matriz de comparação por pares de critérios é consistente — os pesos refletem preferências racionais e transitivas.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PO: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PO não é um método avaliativo adicional — é a tradução dos resultados empíricos em ação. A decomposição OB mostra que 84% do gap é de dotações → isso informa os pesos do TOPSIS. A SNA mostra que betweenness=0 → isso entra no critério de viabilidade da política P3. Os métodos são encadeados: diagnóstico → priorização → simulação.'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TOPSIS é um método multi-critério MCDM clássico (Hwang &amp; Yoon, 1981). Ele ranqueia alternativas pela distância relativa à solução ideal e à pior solução. CR&lt;0,10 no AHP é o padrão de consistência de Saaty (1980) — garantia de que os pesos derivados da comparação por pares são internamente consistentes.'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−0,0644 (−6,2%).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M1=0,704 (sem contexto); OR M2=0,747 (com efeito aleatório de UPA).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M1=26,2% | ICC M2=22,5%.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M1=−1,30 p.p. | AME M2=−1,07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