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800" w:after="120"/>
        <w:jc w:val="center"/>
      </w:pPr>
      <w:r>
        <w:rPr>
          <w:rFonts w:ascii="Calibri" w:hAnsi="Calibri"/>
          <w:b/>
          <w:i w:val="0"/>
          <w:color w:val="1F3864"/>
          <w:sz w:val="40"/>
        </w:rPr>
        <w:t>GUIA DE ESTUDO PARA DEFESA DE TCC</w:t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444444"/>
          <w:sz w:val="28"/>
        </w:rPr>
        <w:t>Racismo Estrutural e Mercado de Trabalho no Brasil</w:t>
      </w:r>
    </w:p>
    <w:p>
      <w:pPr>
        <w:spacing w:before="0" w:after="400"/>
        <w:jc w:val="center"/>
      </w:pPr>
      <w:r>
        <w:rPr>
          <w:rFonts w:ascii="Calibri" w:hAnsi="Calibri"/>
          <w:b w:val="0"/>
          <w:i w:val="0"/>
          <w:color w:val="666666"/>
          <w:sz w:val="22"/>
        </w:rPr>
        <w:t>Ricardo Calheiros  |  MBA USP/ESALQ  |  2026</w:t>
      </w:r>
    </w:p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sz w:val="22"/>
        </w:rPr>
        <w:t>Este guia tem dois objetivos: (1) indicar o que ler de cada obra citada no TCC antes da defesa, com priorização por risco de pergunta da banca; e (2) oferecer uma interpretação detalhada de cada gráfico produzido, incluindo o que dizer se você for questionado sobre ele durante a apresentação.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1 — ROTEIRO DE LEITURAS PRIORITÁRIAS</w:t>
      </w: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3864"/>
          <w:sz w:val="26"/>
        </w:rPr>
        <w:t>Como acessar as obras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Portal CAPES (gratuito com vínculo USP/ESALQ): periodicos.capes.gov.br — login com CPF USP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Google Scholar: busque título completo + nome do autor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Sci-Hub: para artigos pagos — cole o DOI ou título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LibGen: para livros — busque autor + título</w:t>
      </w:r>
    </w:p>
    <w:p/>
    <w:p>
      <w:pPr>
        <w:pStyle w:val="Heading2"/>
      </w:pPr>
      <w:r>
        <w:rPr>
          <w:rFonts w:ascii="Calibri" w:hAnsi="Calibri"/>
          <w:color w:val="1F3864"/>
        </w:rPr>
        <w:t>1.1  Prioridade 1 — Você será perguntado sobre estas obras</w:t>
      </w:r>
    </w:p>
    <w:p>
      <w:pPr>
        <w:spacing w:before="160" w:after="120"/>
        <w:jc w:val="left"/>
      </w:pPr>
      <w:r>
        <w:rPr>
          <w:rFonts w:ascii="Calibri" w:hAnsi="Calibri"/>
          <w:b/>
          <w:i w:val="0"/>
          <w:sz w:val="22"/>
        </w:rPr>
        <w:t>RAUDENBUSH, S. W.; BRYK, A. S. (2002). Hierarchical Linear Models. 2. ed. Thousand Oaks: SAGE.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Por que é crítica: você cita o limiar de ICC=5% e usa a nomenclatura M0–M4 diretamente deste livro.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que ler: Capítulo 2 (conceito de ICC, decomposição da variância entre e dentro dos grupos) e Capítulo 4 (modelos de intercepto e inclinação aleatória). Aproximadamente 40 páginas.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Número específico a verificar: a regra prática de ICC &gt; 0,05 como justificativa para HLM está no Capítulo 2, seção 'Intraclass Correlation'.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Pergunta provável da banca: 'Por que 5% é o limiar para o ICC?' — Resposta: convenção de Raudenbush &amp; Bryk (2002) amplamente adotada na literatura educacional e econômica; no seu caso o ICC é 9,80%, bem acima do limiar.</w:t>
      </w:r>
    </w:p>
    <w:p/>
    <w:p>
      <w:pPr>
        <w:spacing w:before="160" w:after="120"/>
        <w:jc w:val="left"/>
      </w:pPr>
      <w:r>
        <w:rPr>
          <w:rFonts w:ascii="Calibri" w:hAnsi="Calibri"/>
          <w:b/>
          <w:i w:val="0"/>
          <w:sz w:val="22"/>
        </w:rPr>
        <w:t>HSIEH, C-T.; HURST, E.; JONES, C. I.; KLENOW, P. J. (2019). The Allocation of Talent and U.S. Economic Growth. Econometrica, v. 87, n. 5, p. 1439-1474.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Por que é crítica: você usa o argumento de que eliminar barreiras ocupacionais = ganho de produtividade (+127,3% renda negra, proxy +74,3 p.p. de PIB).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que ler: Abstract (2 parágrafos) + Introduction (pp. 1–6) + Tabela 1 (resultados principais) + Conclusion (pp. 38–40). O artigo completo tem 40 páginas mas as seções indicadas são suficientes para a defesa.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Achado central a memorizar: barreiras à entrada de mulheres e negros em ocupações de alta qualificação explicam 40% do crescimento da PTF dos EUA entre 1960 e 2010.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Pergunta provável: 'Qual a diferença entre o resultado deles e o seu?' — Resposta: eles estimam PTF com modelo de equilíbrio geral; seu proxy é mais conservador (diferença de renda × participação na força de trabalho), o que justifica usá-lo como lower bound.</w:t>
      </w:r>
    </w:p>
    <w:p/>
    <w:p>
      <w:pPr>
        <w:spacing w:before="160" w:after="120"/>
        <w:jc w:val="left"/>
      </w:pPr>
      <w:r>
        <w:rPr>
          <w:rFonts w:ascii="Calibri" w:hAnsi="Calibri"/>
          <w:b/>
          <w:i w:val="0"/>
          <w:sz w:val="22"/>
        </w:rPr>
        <w:t>OAXACA, R. (1973). Male-Female Wage Differentials in Urban Labor Markets. International Economic Review, v. 14, n. 3, p. 693-709.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sz w:val="22"/>
        </w:rPr>
        <w:t>BLINDER, A. S. (1973). Wage Discrimination: Reduced Form and Structural Estimates. Journal of Human Resources, v. 8, n. 4, p. 436-455.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Por que são críticos: você usa a decomposição deles e escolheu a formulação two-fold (dotações + retornos) em vez da three-fold.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que ler: em cada artigo, leia apenas a seção onde a decomposição é formalizada (~4–6 páginas). Cada artigo tem ~15 páginas no total.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Diferença entre os dois: Oaxaca usa o grupo masculino como referência; Blinder usa uma média ponderada. Sua implementação usou brancos como grupo de referência.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Pergunta provável: 'Por que two-fold e não three-fold?' — Resposta: na decomposição three-fold, o terceiro componente (interação) não tem interpretação econômica clara em contextos de discriminação racial; a literatura de economics of discrimination prefere two-fold (Fortin, Lemieux &amp; Firpo, 2011).</w:t>
      </w:r>
    </w:p>
    <w:p/>
    <w:p>
      <w:pPr>
        <w:pStyle w:val="Heading2"/>
      </w:pPr>
      <w:r>
        <w:rPr>
          <w:rFonts w:ascii="Calibri" w:hAnsi="Calibri"/>
          <w:color w:val="1F3864"/>
        </w:rPr>
        <w:t>1.2  Prioridade 2 — Risco moderado</w:t>
      </w:r>
    </w:p>
    <w:p>
      <w:pPr>
        <w:spacing w:before="160" w:after="120"/>
        <w:jc w:val="left"/>
      </w:pPr>
      <w:r>
        <w:rPr>
          <w:rFonts w:ascii="Calibri" w:hAnsi="Calibri"/>
          <w:b/>
          <w:i w:val="0"/>
          <w:sz w:val="22"/>
        </w:rPr>
        <w:t>BURT, R. S. (2004). Structural Holes and Good Ideas. American Journal of Sociology, v. 110, n. 2, p. 349-399.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Por que é relevante: fundamenta a análise de betweenness centrality na SNA e o argumento de que negros têm betweenness=0 mesmo com pós-graduação.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que ler: Introduction (pp. 349–355) + seção 'Network Constraint and Brokerage' (pp. 355–370). São ~20 páginas.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Conceito-chave: structural hole = posição de broker entre grupos que não se conectam diretamente. Alta betweenness = acesso antecipado a informação e oportunidades.</w:t>
      </w:r>
    </w:p>
    <w:p/>
    <w:p>
      <w:pPr>
        <w:spacing w:before="160" w:after="120"/>
        <w:jc w:val="left"/>
      </w:pPr>
      <w:r>
        <w:rPr>
          <w:rFonts w:ascii="Calibri" w:hAnsi="Calibri"/>
          <w:b/>
          <w:i w:val="0"/>
          <w:sz w:val="22"/>
        </w:rPr>
        <w:t>WILSON, W. J. (1987). The Truly Disadvantaged: The Inner City, the Underclass, and Public Policy. Chicago: University of Chicago Press.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Por que é relevante: justifica o uso da UPA como proxy de bairro e o argumento de que o local de moradia explica parte do gap salarial.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que ler: Capítulo 1 (tese central do efeito de vizinhança) e Capítulo 7 (implicações de política). São ~40 páginas.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Tese central: concentração de pobreza em bairros segregados cria isolamento de redes profissionais — reforça o argumento da UPA como mediadora.</w:t>
      </w:r>
    </w:p>
    <w:p/>
    <w:p>
      <w:pPr>
        <w:pStyle w:val="Heading2"/>
      </w:pPr>
      <w:r>
        <w:rPr>
          <w:rFonts w:ascii="Calibri" w:hAnsi="Calibri"/>
          <w:color w:val="1F3864"/>
        </w:rPr>
        <w:t>1.3  Prioridade 3 — Leia se sobrar tempo</w:t>
      </w:r>
    </w:p>
    <w:p>
      <w:pPr>
        <w:spacing w:before="120" w:after="120"/>
        <w:jc w:val="left"/>
      </w:pPr>
      <w:r>
        <w:rPr>
          <w:rFonts w:ascii="Calibri" w:hAnsi="Calibri"/>
          <w:b/>
          <w:i w:val="0"/>
          <w:sz w:val="22"/>
        </w:rPr>
        <w:t>MOINEDDIN, R. et al. (2007). A simulation study of sample size for multilevel logistic regression models. BMC Medical Research Methodology, v. 7, n. 34.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Justifica o uso de logit multinível como aproximação válida mesmo sem GLMM completo. Leia apenas Abstract + Discussion (~3 páginas).</w:t>
      </w:r>
    </w:p>
    <w:p/>
    <w:p>
      <w:pPr>
        <w:spacing w:before="120" w:after="120"/>
        <w:jc w:val="left"/>
      </w:pPr>
      <w:r>
        <w:rPr>
          <w:rFonts w:ascii="Calibri" w:hAnsi="Calibri"/>
          <w:b/>
          <w:i w:val="0"/>
          <w:sz w:val="22"/>
        </w:rPr>
        <w:t>CHEN, T.; GUESTRIN, C. (2016). XGBoost: A Scalable Tree Boosting System. Proceedings of KDD 2016.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Base técnica do ML/SHAP. Leia Abstract + seção de 'Gain Importance' (~5 páginas).</w:t>
      </w:r>
    </w:p>
    <w:p/>
    <w:p>
      <w:pPr>
        <w:spacing w:before="120" w:after="120"/>
        <w:jc w:val="left"/>
      </w:pPr>
      <w:r>
        <w:rPr>
          <w:rFonts w:ascii="Calibri" w:hAnsi="Calibri"/>
          <w:b/>
          <w:i w:val="0"/>
          <w:sz w:val="22"/>
        </w:rPr>
        <w:t>LUNDBERG, S.; LEE, S-I. (2017). A Unified Approach to Interpreting Model Predictions. NeurIPS 2017.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Fundamenta os SHAP values. Leia Introduction + Figure 1 (~4 páginas).</w:t>
      </w:r>
    </w:p>
    <w:p/>
    <w:p>
      <w:pPr>
        <w:spacing w:before="120" w:after="120"/>
        <w:jc w:val="left"/>
      </w:pPr>
      <w:r>
        <w:rPr>
          <w:rFonts w:ascii="Calibri" w:hAnsi="Calibri"/>
          <w:b/>
          <w:i w:val="0"/>
          <w:sz w:val="22"/>
        </w:rPr>
        <w:t>FORTIN, N.; LEMIEUX, T.; FIRPO, S. (2011). Decomposition Methods in Economics. Handbook of Labor Economics, v. 4A.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Survey sobre decomposições salariais. Leia seção 3 (Oaxaca-Blinder, ~15 páginas). Justifica a escolha two-fold.</w:t>
      </w:r>
    </w:p>
    <w:p/>
    <w:p>
      <w:pPr>
        <w:pStyle w:val="Heading2"/>
      </w:pPr>
      <w:r>
        <w:rPr>
          <w:rFonts w:ascii="Calibri" w:hAnsi="Calibri"/>
          <w:color w:val="1F3864"/>
        </w:rPr>
        <w:t>1.4  Cronograma sugerido (1 semana antes da defesa)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1F3864"/>
          <w:sz w:val="22"/>
        </w:rPr>
        <w:t xml:space="preserve">Dia 1: </w:t>
      </w:r>
      <w:r>
        <w:rPr>
          <w:rFonts w:ascii="Calibri" w:hAnsi="Calibri"/>
          <w:b w:val="0"/>
          <w:i w:val="0"/>
          <w:sz w:val="22"/>
        </w:rPr>
        <w:t>Raudenbush &amp; Bryk — Capítulos 2 e 4 (~40 páginas)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1F3864"/>
          <w:sz w:val="22"/>
        </w:rPr>
        <w:t xml:space="preserve">Dia 2: </w:t>
      </w:r>
      <w:r>
        <w:rPr>
          <w:rFonts w:ascii="Calibri" w:hAnsi="Calibri"/>
          <w:b w:val="0"/>
          <w:i w:val="0"/>
          <w:sz w:val="22"/>
        </w:rPr>
        <w:t>Hsieh et al. (2019) — artigo completo (~40 páginas)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1F3864"/>
          <w:sz w:val="22"/>
        </w:rPr>
        <w:t xml:space="preserve">Dia 3: </w:t>
      </w:r>
      <w:r>
        <w:rPr>
          <w:rFonts w:ascii="Calibri" w:hAnsi="Calibri"/>
          <w:b w:val="0"/>
          <w:i w:val="0"/>
          <w:sz w:val="22"/>
        </w:rPr>
        <w:t>Oaxaca (1973) + Blinder (1973) — seções de decomposição (~30 páginas no total)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1F3864"/>
          <w:sz w:val="22"/>
        </w:rPr>
        <w:t xml:space="preserve">Dia 4: </w:t>
      </w:r>
      <w:r>
        <w:rPr>
          <w:rFonts w:ascii="Calibri" w:hAnsi="Calibri"/>
          <w:b w:val="0"/>
          <w:i w:val="0"/>
          <w:sz w:val="22"/>
        </w:rPr>
        <w:t>Burt (2004) + Wilson (1987) Cap. 1 (~60 páginas no total)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1F3864"/>
          <w:sz w:val="22"/>
        </w:rPr>
        <w:t xml:space="preserve">Dia 5: </w:t>
      </w:r>
      <w:r>
        <w:rPr>
          <w:rFonts w:ascii="Calibri" w:hAnsi="Calibri"/>
          <w:b w:val="0"/>
          <w:i w:val="0"/>
          <w:sz w:val="22"/>
        </w:rPr>
        <w:t>Reler o roteiro de defesa e simular as perguntas da banca com os novos insumos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1F3864"/>
          <w:sz w:val="22"/>
        </w:rPr>
        <w:t xml:space="preserve">Dia 6: </w:t>
      </w:r>
      <w:r>
        <w:rPr>
          <w:rFonts w:ascii="Calibri" w:hAnsi="Calibri"/>
          <w:b w:val="0"/>
          <w:i w:val="0"/>
          <w:sz w:val="22"/>
        </w:rPr>
        <w:t>Revisão das equações dos modelos (HLM, Oaxaca, QR) e dos resultados numéricos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1F3864"/>
          <w:sz w:val="22"/>
        </w:rPr>
        <w:t xml:space="preserve">Dia 7: </w:t>
      </w:r>
      <w:r>
        <w:rPr>
          <w:rFonts w:ascii="Calibri" w:hAnsi="Calibri"/>
          <w:b w:val="0"/>
          <w:i w:val="0"/>
          <w:sz w:val="22"/>
        </w:rPr>
        <w:t>Descanso + leitura leve do Fortin et al. se sentir necessidade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2 — COMO LER CADA GRÁFICO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2"/>
        </w:rPr>
        <w:t>Para cada figura, este guia explica: (a) o que está nos eixos, (b) o que o padrão visual significa, (c) o achado principal e (d) o que dizer se a banca perguntar.</w:t>
      </w:r>
    </w:p>
    <w:p>
      <w:pPr>
        <w:pStyle w:val="Heading2"/>
      </w:pPr>
      <w:r>
        <w:rPr>
          <w:rFonts w:ascii="Calibri" w:hAnsi="Calibri"/>
          <w:color w:val="1F3864"/>
        </w:rPr>
        <w:t>Figura 1 — Distribuição de Log-Renda por Raça (Densidade KDE)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ensidade_log_sal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Estimativa por kernel (KDE) da log-renda por raça. Ponderado por V1028.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X: log da renda nominal. Escala logarítmica aplaina a assimetria da distribuição de renda e permite leitura de diferenças percentuais como distâncias.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Y: densidade estimada — altura da curva indica concentração de observações naquele nível de renda.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Linha azul = brancos; linha vermelha = negros. Linhas verticais tracejadas = medianas.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que o padrão mostra: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Curva de negros deslocada para a ESQUERDA (menores log-rendas): não são apenas alguns outliers — toda a distribuição está à esquerda.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Mediana bruta: brancos R$2.000 / negros R$1.450 → gap de 27,5%. Gap médio maior (37,5%) porque negros são sobre-representados na cauda inferior.</w:t>
      </w:r>
    </w:p>
    <w:p>
      <w:pPr>
        <w:spacing w:before="80" w:after="40"/>
      </w:pPr>
      <w:r>
        <w:rPr>
          <w:rFonts w:ascii="Calibri" w:hAnsi="Calibri"/>
          <w:b/>
          <w:i w:val="0"/>
          <w:color w:val="B71C1C"/>
          <w:sz w:val="22"/>
        </w:rPr>
        <w:t>▌ O que dizer se perguntarem: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gráfico de densidade mostra que o gap não é gerado por poucos casos extremos — toda a distribuição de negros está deslocada à esquerda. O gap de 27,5% na mediana é a estimativa mais conservadora: a média (37,5%) é maior porque incorpora as rendas do topo onde o gap racial é ainda mais intenso (confirmado pela regressão quantílica).'</w:t>
      </w:r>
    </w:p>
    <w:p/>
    <w:p>
      <w:pPr>
        <w:pStyle w:val="Heading2"/>
      </w:pPr>
      <w:r>
        <w:rPr>
          <w:rFonts w:ascii="Calibri" w:hAnsi="Calibri"/>
          <w:color w:val="1F3864"/>
        </w:rPr>
        <w:t>Figura 2 — Heatmap do Gap Salarial por Gênero e Educação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005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eatmap_gap_genero_edu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0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Gap racial médio (%) por categoria de gênero × nível de escolaridade.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X: nível de escolaridade (categorias crescentes). Eixo Y: gênero (masculino / feminino).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Cor das células: intensidade do gap racial médio. Cores mais quentes = gap maior.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que o padrão mostra: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Mulheres negras: células com maior intensidade — confirmando interseccionalidade (Crenshaw, 1989). A desvantagem combinada raça × gênero supera a soma das partes.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Escolaridade não elimina o gap: mesmo na célula 'mulher negra + superior completo', o gap persiste — diplomas não são suficientes para anular a discriminação interseccional.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Confirmação estatística: interação negro×sexo_fem no GLMM (β=+0.0416, p&lt;0.001) confirma o padrão visual.</w:t>
      </w:r>
    </w:p>
    <w:p>
      <w:pPr>
        <w:spacing w:before="80" w:after="40"/>
      </w:pPr>
      <w:r>
        <w:rPr>
          <w:rFonts w:ascii="Calibri" w:hAnsi="Calibri"/>
          <w:b/>
          <w:i w:val="0"/>
          <w:color w:val="B71C1C"/>
          <w:sz w:val="22"/>
        </w:rPr>
        <w:t>▌ O que dizer se perguntarem sobre interseccionalidade: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'Crenshaw (1989) argumenta que identidades sobrepostas criam formas específicas de discriminação não capturadas por análises unidimensionais. O heatmap mostra isso empiricamente: o gap de mulheres negras é maior do que a soma do gap de gênero + gap racial. O coeficiente negro×sexo_fem=+0.0416 no GLMM confirma estatisticamente que a interação existe e é positiva — ou seja, o efeito combinado é ainda pior do que cada fator isoladamente.'</w:t>
      </w:r>
    </w:p>
    <w:p/>
    <w:p>
      <w:pPr>
        <w:pStyle w:val="Heading2"/>
      </w:pPr>
      <w:r>
        <w:rPr>
          <w:rFonts w:ascii="Calibri" w:hAnsi="Calibri"/>
          <w:color w:val="1F3864"/>
        </w:rPr>
        <w:t>Figura 4 — Gap Salarial por Faixa Etária (Ciclo de Vida)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748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gap_faixa_eta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Gap racial médio (%) por faixa etária. Ponderado por V1028.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X: faixas etárias (14–24, 25–34, 35–44, 45–54, 55–64, 65+).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Y: gap salarial racial médio (%) entre brancos e negros naquela faixa etária.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que o padrão mostra: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14–24 anos: gap de 9,1% — pequeno, quando todos estão na base do mercado.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25–34 anos: gap sobe para 25,0% — primeiro ciclo de diferenciação de carreira.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35–44 anos: gap PICO de 37,5% — fase de maior mobilidade vertical; o teto de vidro se fecha exatamente quando as promoções mais importam.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65+: gap de 40,0% — acumulação máxima ao longo de toda a carreira.</w:t>
      </w:r>
    </w:p>
    <w:p>
      <w:pPr>
        <w:spacing w:before="80" w:after="40"/>
      </w:pPr>
      <w:r>
        <w:rPr>
          <w:rFonts w:ascii="Calibri" w:hAnsi="Calibri"/>
          <w:b/>
          <w:i w:val="0"/>
          <w:color w:val="B71C1C"/>
          <w:sz w:val="22"/>
        </w:rPr>
        <w:t>▌ O que dizer se perguntarem: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padrão de ciclo de vida é a confirmação empírica da natureza acumulativa da discriminação. Isso é consistente com o coeficiente negro×experiência (β=−0.0019, p&lt;0.001) no GLMM: cada ano adicional de experiência AMPLIA o gap racial em vez de reduzi-lo. Em um mercado justo, mais experiência deveria nivelar as diferenças — o sinal negativo confirma que o mecanismo de discriminação se intensifica com a progressão de carreira, não o contrário.'</w:t>
      </w:r>
    </w:p>
    <w:p/>
    <w:p>
      <w:pPr>
        <w:pStyle w:val="Heading2"/>
      </w:pPr>
      <w:r>
        <w:rPr>
          <w:rFonts w:ascii="Calibri" w:hAnsi="Calibri"/>
          <w:color w:val="1F3864"/>
        </w:rPr>
        <w:t>TABELAS ANALÍTICAS — O QUE SABER SOBRE CADA TABELA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2"/>
        </w:rPr>
        <w:t>As quatro tabelas abaixo foram geradas a partir dos microdados PNAD Contínua 2016–2025 com ponderação amostral (peso V1028). Elas estabelecem o diagnóstico descritivo e os resultados Mincer antes da modelagem HLM/GLMM.</w:t>
      </w:r>
    </w:p>
    <w:p>
      <w:pPr>
        <w:spacing w:before="80" w:after="40"/>
      </w:pPr>
      <w:r>
        <w:rPr>
          <w:rFonts w:ascii="Calibri" w:hAnsi="Calibri"/>
          <w:b/>
          <w:i w:val="0"/>
          <w:color w:val="1F3864"/>
          <w:sz w:val="22"/>
        </w:rPr>
        <w:t>▌ Tabela 1 — Estatísticas Descritivas por Raça (tab1_descritiva_racial.csv)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Conteúdo: N, renda média (R$), renda mediana (R$), escolaridade média (anos), % emprego formal, % superior completo — para brancos e negros separadamente.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Números a memorizar: renda mediana brancos = R$2.000 / negros = R$1.450 (gap 27,5%); renda média: gap de 37,5%; formal: brancos 53% vs negros 48%.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Se perguntarem 'por que mediana?': A distribuição de renda é muito assimétrica (cauda direita longa). A mediana é robusta a outliers e representa melhor o trabalhador típico. O gap de 37,5% na média é maior porque inclui rendas do topo onde o gap é ainda mais intenso.</w:t>
      </w:r>
    </w:p>
    <w:p/>
    <w:p>
      <w:pPr>
        <w:spacing w:before="80" w:after="40"/>
      </w:pPr>
      <w:r>
        <w:rPr>
          <w:rFonts w:ascii="Calibri" w:hAnsi="Calibri"/>
          <w:b/>
          <w:i w:val="0"/>
          <w:color w:val="1F3864"/>
          <w:sz w:val="22"/>
        </w:rPr>
        <w:t>▌ Tabela 2 — Gap Bruto por Subgrupo (tab2_gap_bruto_subgrupos.csv)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Conteúdo: gap racial médio (%) segmentado por gênero × faixa educacional.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Subgrupo com maior gap: mulher negra — confirma empiricamente a interseccionalidade.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Subgrupo com menor gap: homens com superior completo (escolaridade nivela parte da desvantagem de capital humano, mas gap persiste).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Se perguntarem: 'Por que mostrar subgrupos?' — Confirma Crenshaw (1989): políticas de renda que tratam 'negro' como categoria homogênea subestimam severamente o impacto sobre mulheres negras, que são o subgrupo mais afetado pela discriminação composta.</w:t>
      </w:r>
    </w:p>
    <w:p/>
    <w:p>
      <w:pPr>
        <w:spacing w:before="80" w:after="40"/>
      </w:pPr>
      <w:r>
        <w:rPr>
          <w:rFonts w:ascii="Calibri" w:hAnsi="Calibri"/>
          <w:b/>
          <w:i w:val="0"/>
          <w:color w:val="1F3864"/>
          <w:sz w:val="22"/>
        </w:rPr>
        <w:t>▌ Tabela 3 — Equação de Mincer Progressiva (tab3_mincer_progressivo.csv)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Conteúdo: 5 especificações OLS progressivas (M1–M5) com coeficiente de 'negro' em cada modelo.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M1 (apenas negro): gap = −23,1% | M2 (+edu+experiência): −22,3% | M3 (+UF): −7,9% | M4 (+setor+horas): −7,0% | M5 (completo): −6,2%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Padrão: o salto entre M2 e M3 (−22,3% → −7,9%) mostra que os estados explicam grande parte do gap bruto — confirmando a dimensão territorial da desigualdade racial.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Se perguntarem sobre Mincer (1974): 'A especificação padrão para estimar retornos à educação inclui log(renda) ~ educação + experiência + experiência². A versão progressiva aqui mostra explicitamente quanto cada bloco de variáveis explica do gap — é a formalização OLS do que o HLM faz de forma hierárquica.'</w:t>
      </w:r>
    </w:p>
    <w:p/>
    <w:p>
      <w:pPr>
        <w:spacing w:before="80" w:after="40"/>
      </w:pPr>
      <w:r>
        <w:rPr>
          <w:rFonts w:ascii="Calibri" w:hAnsi="Calibri"/>
          <w:b/>
          <w:i w:val="0"/>
          <w:color w:val="1F3864"/>
          <w:sz w:val="22"/>
        </w:rPr>
        <w:t>▌ Tabela 4 — Termos de Interação Racial no GLMM (tab4_interacoes.csv)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Conteúdo: coeficientes de interação estimados no GLMM: negro×sexo_fem, negro×experiência, negro×educ_alto, negro×educ_med.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negro×sexo_fem: β=+0.0416 (***) — mulheres negras têm desvantagem ADICIONAL além da soma dos efeitos de raça e gênero separados (interseccionalidade confirmada).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negro×experiência: β=−0.0019 (***) — cada ano de experiência AMPLIA o gap racial. Sinal negativo: a experiência retorna menos para negros do que para brancos.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negro×educ_alto e negro×educ_med: não significativos (ns) — mais escolaridade não elimina a desvantagem racial. Capital humano é necessário mas não suficiente.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Se perguntarem sobre β negativo em negro×experiência: 'Significa que 1 ano adicional de experiência reduz a probabilidade de ocupação qualificada de negros 0.0019 pontos a mais do que para brancos. O mecanismo provável é o teto de vidro: com o tempo, brancos são promovidos e negros estacionam — o que se acumula ao longo do ciclo de vida (Fig 4).'</w:t>
      </w:r>
    </w:p>
    <w:p/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</w:rPr>
        <w:t>Figura 3 — Razão de Representação por Grupo Ocupacional (CBO)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567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razao_grupo_cb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6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Razão negros/brancos por grupo CBO. Linha tracejada = paridade (1,0).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Y: grupos ocupacionais CBO (do mais elementar ao mais qualificado).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X: razão entre a proporção de negros e a proporção de brancos no grupo. Valor 1,0 = paridade. Valor &lt; 1 = sub-representação de negros. Valor &gt; 1 = sobre-representação.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Linha tracejada vertical em 1,0 = ponto de equilíbrio.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que o padrão mostra: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Grupos de prestígio (Dirigentes, Profissionais) ficam à esquerda da linha: negros são sub-representados. Grupos elementares ficam à direita: sobre-representados.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Dirigentes: razão ≈ 0,42 — para cada 100 brancos na função, há apenas 42 negros.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Elementares: razão ≈ 2,12 — negros são mais do que o dobro do esperado pela paridade.</w:t>
      </w:r>
    </w:p>
    <w:p>
      <w:pPr>
        <w:spacing w:before="80" w:after="40"/>
      </w:pPr>
      <w:r>
        <w:rPr>
          <w:rFonts w:ascii="Calibri" w:hAnsi="Calibri"/>
          <w:b/>
          <w:i w:val="0"/>
          <w:color w:val="B71C1C"/>
          <w:sz w:val="22"/>
        </w:rPr>
        <w:t>▌ O que dizer se perguntarem: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'Este gráfico é o primeiro diagnóstico visual da segregação ocupacional. A razão de 0,42 nos Dirigentes não é explicada por diferença de escolaridade — quando controlamos por educação no GLMM (lme4), o OR permanece em 0,693. Isso confirma que parte substancial da sub-representação é discriminação de acesso, não apenas diferença de capital humano.'</w:t>
      </w:r>
    </w:p>
    <w:p/>
    <w:p>
      <w:pPr>
        <w:pStyle w:val="Heading2"/>
      </w:pPr>
      <w:r>
        <w:rPr>
          <w:rFonts w:ascii="Calibri" w:hAnsi="Calibri"/>
          <w:color w:val="1F3864"/>
        </w:rPr>
        <w:t>Figura 5 — Índice de Representação no Topo da Distribuição de Renda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92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representacao_top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IR (Índice de Representação) por percentil de renda. IR=1 = paridade racial.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X: percentis de renda (do mais baixo ao topo).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Y: IR = (% negros no percentil) / (% negros na população total). IR=1 = representação proporcional. IR&lt;1 = sub-representação no topo.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Linhas separadas por capital vs interior, ou por região — verifique a legenda do gráfico gerado.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Achado principal: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No top 5% das capitais, IR ≈ 0,47: negros ocupam apenas 47% do que seria esperado pela sua participação na população.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IR cai conforme sobe o percentil — essa queda é a formalização visual do glass ceiling.</w:t>
      </w:r>
    </w:p>
    <w:p>
      <w:pPr>
        <w:spacing w:before="80" w:after="40"/>
      </w:pPr>
      <w:r>
        <w:rPr>
          <w:rFonts w:ascii="Calibri" w:hAnsi="Calibri"/>
          <w:b/>
          <w:i w:val="0"/>
          <w:color w:val="B71C1C"/>
          <w:sz w:val="22"/>
        </w:rPr>
        <w:t>▌ O que dizer se perguntarem: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IR quantifica em pontos de percentil o que o gráfico de razão CBO mostra categoricamente. A queda do IR no topo confirma que o glass ceiling não é apenas uma metáfora — é uma barreira mensurável que se intensifica exatamente onde os prêmios salariais são maiores. Isso é consistente com os resultados da regressão quantílica.'</w:t>
      </w:r>
    </w:p>
    <w:p/>
    <w:p>
      <w:pPr>
        <w:pStyle w:val="Heading2"/>
      </w:pPr>
      <w:r>
        <w:rPr>
          <w:rFonts w:ascii="Calibri" w:hAnsi="Calibri"/>
          <w:color w:val="1F3864"/>
        </w:rPr>
        <w:t>Figura 6 — Decomposição HLM: Do Gap Bruto ao Resíduo de Discriminação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Barras horizontais: cada barra representa o gap racial estimado em um modelo diferente (M1 a M4). O comprimento da barra é o tamanho do gap.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 sequência de cima para baixo mostra como o gap 'encolhe' à medida que variáveis de contexto e ocupação são adicionadas.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M1 (gap bruto) = 19,3%: sem nenhum controle.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M2 (+ UPA): renda média da UPA absorve ~9 p.p. — o lugar onde se mora explica metade do gap.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M3 (+ UF): redução marginal adicional pelas diferenças entre estados.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M4 (+ CBO + formalidade + horas): o gap cai para 6,2% — este é o resíduo que não tem explicação por características observáveis. É a discriminação de remuneração pura.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que o padrão mostra: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 maior redução ocorre entre M1 e M2 (adição da UPA): confirma Wilson (1987) — o local de moradia é o principal mediador do gap.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gap residual de 6,2% em M4 não tem explicação por nenhuma variável observável: é o lower bound da discriminação de remuneração.</w:t>
      </w:r>
    </w:p>
    <w:p>
      <w:pPr>
        <w:spacing w:before="80" w:after="40"/>
      </w:pPr>
      <w:r>
        <w:rPr>
          <w:rFonts w:ascii="Calibri" w:hAnsi="Calibri"/>
          <w:b/>
          <w:i w:val="0"/>
          <w:color w:val="1F3864"/>
          <w:sz w:val="22"/>
        </w:rPr>
        <w:t>▌ O que dizer se perguntarem: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'A sequência dos modelos não é arbitrária — cada passo adiciona um nível da hierarquia social. Primeiro o contexto de moradia (UPA), depois o contexto institucional (UF), depois a posição no mercado de trabalho (CBO + formalidade). O gap de 6,2% que sobra é robusto a todos os controles observáveis disponíveis na PNAD.'</w:t>
      </w:r>
    </w:p>
    <w:p/>
    <w:p>
      <w:pPr>
        <w:pStyle w:val="Heading2"/>
      </w:pPr>
      <w:r>
        <w:rPr>
          <w:rFonts w:ascii="Calibri" w:hAnsi="Calibri"/>
          <w:color w:val="1F3864"/>
        </w:rPr>
        <w:t>Figura 7 — Decomposição de Oaxaca-Blinder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648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axaca_decomposi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64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Decomposição two-fold: gap total em Dotações (84%) e Retornos (16%).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gráfico divide o gap total (≈53,0% em log-renda) em duas partes:</w:t>
      </w:r>
    </w:p>
    <w:p>
      <w:pPr>
        <w:pStyle w:val="ListBullet"/>
        <w:spacing w:after="60"/>
        <w:ind w:left="737"/>
      </w:pPr>
      <w:r>
        <w:rPr>
          <w:rFonts w:ascii="Calibri" w:hAnsi="Calibri"/>
          <w:b w:val="0"/>
          <w:i w:val="0"/>
          <w:sz w:val="22"/>
        </w:rPr>
        <w:t>Barra/segmento DOTAÇÕES (84%): diferença explicada por negros terem, em média, menos anos de escolaridade, menos acesso a emprego formal, ocupações menos qualificadas e mais horas em subemprego.</w:t>
      </w:r>
    </w:p>
    <w:p>
      <w:pPr>
        <w:pStyle w:val="ListBullet"/>
        <w:spacing w:after="60"/>
        <w:ind w:left="737"/>
      </w:pPr>
      <w:r>
        <w:rPr>
          <w:rFonts w:ascii="Calibri" w:hAnsi="Calibri"/>
          <w:b w:val="0"/>
          <w:i w:val="0"/>
          <w:sz w:val="22"/>
        </w:rPr>
        <w:t>Barra/segmento RETORNOS (16%): diferença que persiste mesmo quando negros e brancos têm as MESMAS características — o mercado remunera diferentemente.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que o padrão mostra: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84% do gap é de dotações: a discriminação opera principalmente no ACESSO a características valorizadas, não no salário dentro da função.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Isso inverte a intuição comum: combater apenas o gap salarial direto (16%) deixa 84% do problema intacto.</w:t>
      </w:r>
    </w:p>
    <w:p>
      <w:pPr>
        <w:spacing w:before="80" w:after="40"/>
      </w:pPr>
      <w:r>
        <w:rPr>
          <w:rFonts w:ascii="Calibri" w:hAnsi="Calibri"/>
          <w:b/>
          <w:i w:val="0"/>
          <w:color w:val="1565C0"/>
          <w:sz w:val="22"/>
        </w:rPr>
        <w:t>▌ O que dizer se perguntarem: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Oaxaca une os três vértices do triângulo de evidências. Os 84% de dotações são explicados pelo logit (acesso a ocupações) e pela SNA (exclusão das redes). Os 16% de retornos são explicados pelo HLM M4 (6,2% de discriminação pura de remuneração). Os métodos são consistentes entre si.'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Se perguntarem sobre three-fold: 'A decomposição three-fold adiciona um componente de interação entre dotações e retornos que não tem interpretação causal clara em contexto de discriminação racial. Por isso a literatura de economics of discrimination prefere two-fold (Fortin, Lemieux &amp; Firpo, 2011).'</w:t>
      </w:r>
    </w:p>
    <w:p/>
    <w:p>
      <w:pPr>
        <w:pStyle w:val="Heading2"/>
      </w:pPr>
      <w:r>
        <w:rPr>
          <w:rFonts w:ascii="Calibri" w:hAnsi="Calibri"/>
          <w:color w:val="1F3864"/>
        </w:rPr>
        <w:t>Figura 8 — GLMM (lme4): Odds Ratios para Acesso a Ocupações Qualificadas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mm_odds_rat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Odds Ratios do GLMM para negro vs branco. M1=sem contexto, M2=com efeitos aleatórios UPA. Linha = OR=1 (sem diferença racial).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X: Odds Ratio (OR). OR=1 = sem diferença racial. OR&lt;1 = negros têm MENOR chance.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Cada ponto = estimativa de OR com IC 95%. GLMM implementado com lme4::glmer (nAGQ=0, otimizador bobyqa) para acomodar a estrutura hierárquica dos dados.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M1 (sem efeito aleatório de contexto): OR=0,676 — negros têm 32,4% menos chance. ICC M1=21,6% (variação entre UPAs elevada). N=7.694.198 (PEA completa).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M2 (com efeito aleatório de UPA): OR=0,693 — após controlar o contexto local, negros têm 30,7% menos chance. ICC M2=10,7%.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AME (Average Marginal Effect):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AME M1 = −5,04 p.p.: sem controle de contexto, negros têm 5,04 p.p. a menos de probabilidade de ocupação qualificada.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AME M2 = −4,73 p.p.: com efeito aleatório de UPA, o efeito líquido de ser negro é −4,73 p.p. — discriminação pura de acesso após controlar moradia e contexto.</w:t>
      </w:r>
    </w:p>
    <w:p>
      <w:pPr>
        <w:spacing w:before="80" w:after="40"/>
      </w:pPr>
      <w:r>
        <w:rPr>
          <w:rFonts w:ascii="Calibri" w:hAnsi="Calibri"/>
          <w:b/>
          <w:i w:val="0"/>
          <w:color w:val="FF8F00"/>
          <w:sz w:val="22"/>
        </w:rPr>
        <w:t>▌ O que dizer se perguntarem sobre OR vs AME e sobre o GLMM: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OR mede razão de chances — útil para comparação entre modelos. O AME traduz isso em diferença de probabilidade — mais intuitivo para comunicar ao gestor público.'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GLMM (Generalized Linear Mixed Model) é a extensão natural do HLM para variáveis binárias. Ao usar lme4::glmer com efeitos aleatórios por UPA, capturo a mesma estrutura hierárquica do HLM aplicada ao modelo de acesso a ocupações. O ICC=21,6% em M1 confirma que há variância substancial entre UPAs — ignorar essa hierarquia produziria erros padrão subestimados e OR's viesados.'</w:t>
      </w:r>
    </w:p>
    <w:p/>
    <w:p>
      <w:pPr>
        <w:pStyle w:val="Heading2"/>
      </w:pPr>
      <w:r>
        <w:rPr>
          <w:rFonts w:ascii="Calibri" w:hAnsi="Calibri"/>
          <w:color w:val="1F3864"/>
        </w:rPr>
        <w:t>Figura 9 — Regressão Quantílica: Trajetória do Gap ao Longo da Distribuição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682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reg_trajeto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Gap racial (% de diferença de log-renda) por percentil. Linha M3 = sem CBO/formalidade. Linha M4 = com CBO/formalidade.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X: percentil da distribuição de renda (q10 = mais pobres, q95 = mais ricos).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Y: coeficiente do dummy 'negro' em log-renda — quanto menor, maior o gap.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Duas linhas: M3 (sem ocupação/formalidade) e M4 (com ocupação/formalidade).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Faixa cinza ao redor de cada linha = intervalo de confiança 95%.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que o padrão mostra: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Inclinação descendente de ambas as linhas (coeficiente fica mais negativo conforme sobe o quantil) = o gap aumenta no topo da distribuição = glass ceiling racial.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Diferença entre M3 e M4 cresce no topo: no q95, a mediação ocupacional (CBO + formalidade) explica mais do gap do que no q10. Negros no topo são excluídos das ocupações mais rentáveis.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Valores concretos: q10 ≈ −3,2%; q50 ≈ −4,1%; q90 ≈ −7,1%; q95 ≈ −7,9% (M4).</w:t>
      </w:r>
    </w:p>
    <w:p>
      <w:pPr>
        <w:spacing w:before="80" w:after="40"/>
      </w:pPr>
      <w:r>
        <w:rPr>
          <w:rFonts w:ascii="Calibri" w:hAnsi="Calibri"/>
          <w:b/>
          <w:i w:val="0"/>
          <w:color w:val="2E7D32"/>
          <w:sz w:val="22"/>
        </w:rPr>
        <w:t>▌ O que dizer se perguntarem: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'Um OLS capturaria apenas a média — aproximadamente o ponto de q50. Mas o glass ceiling está no q90–q95, onde o gap é sistematicamente maior. Sem regressão quantílica, esse padrão seria invisível. A regressão quantílica é o único método que formaliza a hipótese do glass ceiling como teste estatístico.'</w:t>
      </w:r>
    </w:p>
    <w:p/>
    <w:p>
      <w:pPr>
        <w:pStyle w:val="Heading2"/>
      </w:pPr>
      <w:r>
        <w:rPr>
          <w:rFonts w:ascii="Calibri" w:hAnsi="Calibri"/>
          <w:color w:val="1F3864"/>
        </w:rPr>
        <w:t>Figura 9b — RIF-OB: Sticky Floor Discriminatório vs. Glass Ceiling por Dotações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202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f_ob_retornos_quant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0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RIF-OB incondicional por quantil (Firpo, Fortin &amp; Lemieux, 2018). Retornos (discriminação) vs Dotações por decil de renda.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X: decil/quantil da distribuição incondicional de renda (q10=base, q90=topo).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Dois componentes empilhados por quantil: Dotações (diferença de características) e Retornos (discriminação pura — o que persiste mesmo com características iguais).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RIF = Recentered Influence Function — permite decompor o gap em qualquer quantil incondicionalmente, sem condicionar ao quantil dentro de cada grupo racial.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padrão sticky floor vs. glass ceiling: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q10 — base: Dotações=61,3%, Retornos=33,1%. Discriminação de preço é 3× mais intensa na BASE — efeito sticky floor (chão pegajoso).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q50 — mediana: Dotações=57,4%, Retornos=21,5%. Discriminação decai progressivamente.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q90 — topo: Dotações=75,8%, Retornos=11,2%. No topo, o gap é quase inteiramente por dotações — negros são EXCLUÍDOS das posições rentáveis (glass ceiling).</w:t>
      </w:r>
    </w:p>
    <w:p>
      <w:pPr>
        <w:spacing w:before="80" w:after="40"/>
      </w:pPr>
      <w:r>
        <w:rPr>
          <w:rFonts w:ascii="Calibri" w:hAnsi="Calibri"/>
          <w:b/>
          <w:i w:val="0"/>
          <w:color w:val="2E7D32"/>
          <w:sz w:val="22"/>
        </w:rPr>
        <w:t>▌ O que dizer se perguntarem: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'A QR formaliza o glass ceiling condicional — o gap cresce no topo dentro de cada grupo. O RIF-OB faz a decomposição incondicional — permite perguntar: de onde vem esse gap maior no topo? A resposta é: no topo o mecanismo dominante é exclusão (dotações = 75,8%), não discriminação salarial direta. Na base, a discriminação de preço ainda responde por 33,1% do gap — o sticky floor discriminatório. São dois fenômenos distintos que coexistem.'</w:t>
      </w:r>
    </w:p>
    <w:p/>
    <w:p>
      <w:pPr>
        <w:pStyle w:val="Heading2"/>
      </w:pPr>
      <w:r>
        <w:rPr>
          <w:rFonts w:ascii="Calibri" w:hAnsi="Calibri"/>
          <w:color w:val="1F3864"/>
        </w:rPr>
        <w:t>Figura 9c — Interseccionalidade: Oaxaca-Blinder por 4 Grupos Raça × Gênero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Referência: Homem Branco. Comparação: Mulher Branca, Homem Negro, Mulher Negra.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Para cada grupo, o gap total é decomposto em Dotações (características) e Retornos (discriminação direta).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HLM M4: coeficiente da interação negro×sexo_fem = β=+0,069 — indica atenuação do gap racial para mulheres (raça e gênero interagem, não se somam linearmente).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Resultados por grupo (referência: Homem Branco):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Mulher Branca: gap=46,6% — dotações negativas (−8,9%) / retornos 109% (retornos amplificam o gap: discriminação de gênero pura explica mais de 100%). Sem penalidade de raça.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Homem Negro: gap=40,3% — 71% dotações / 29% retornos. Discriminação racial direta explica ~29% do gap do homem negro.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Mulher Negra: gap=96,4% — maior gap de todos os grupos. Penalidade adicional por interseccionalidade: +9,5 p.p. além da soma de raça + gênero separados.</w:t>
      </w:r>
    </w:p>
    <w:p>
      <w:pPr>
        <w:spacing w:before="80" w:after="40"/>
      </w:pPr>
      <w:r>
        <w:rPr>
          <w:rFonts w:ascii="Calibri" w:hAnsi="Calibri"/>
          <w:b/>
          <w:i w:val="0"/>
          <w:color w:val="FF8F00"/>
          <w:sz w:val="22"/>
        </w:rPr>
        <w:t>▌ O que dizer se perguntarem sobre interseccionalidade: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'A Mulher Negra não sofre apenas raça + gênero de forma aditiva — existe uma penalidade adicional de +9,5 p.p. que emerge especificamente da combinação dos dois eixos de opressão. Isso é a interseccionalidade no sentido de Crenshaw (1989): os eixos interagem, não se somam. O HLM confirma com β_neg×fem=+0,069 (***) — a discriminação racial é estatisticamente menor para mulheres negras do que se esperaria da soma linear.'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'Gap de 96,4% para mulher negra vs 40,3% para homem negro: a mulher negra experimenta uma dupla desvantagem que quase dobra o gap. Políticas de gênero e raça precisam ser desenhadas conjuntamente para esse grupo.'</w:t>
      </w:r>
    </w:p>
    <w:p/>
    <w:p>
      <w:pPr>
        <w:pStyle w:val="Heading2"/>
      </w:pPr>
      <w:r>
        <w:rPr>
          <w:rFonts w:ascii="Calibri" w:hAnsi="Calibri"/>
          <w:color w:val="1F3864"/>
        </w:rPr>
        <w:t>Figura 9d — Interseccionalidade GLMM (grupo_rg): o teto de vidro recai sobre a mulher negra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327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upo_rg_interseccion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OR dos 4 grupos raça×gênero vs. homem branco em 3 desfechos. A mulher negra é alçada no acesso à categoria, mas a mais excluída no topo da renda.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GLMM com fator de 4 grupos (homem branco = referência) + interação negro×sexo_fem, em 3 desfechos: acesso a CBO 1–4, renda no top 20% e no top 10%.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ACESSO (CBO 1–4): mulher negra OR=1,33 (ACIMA do homem branco — profissões feminizadas são CBO 1–4); o mais penalizado é o homem negro (OR=0,65).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TOPO da renda (top 10%): INVERTE — a mulher negra é a MAIS excluída (OR=0,34), abaixo da mulher branca (0,49) e do homem negro (0,65).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Interação sub-aditiva (OR=1,14 no acesso): a penalidade racial é um pouco menor entre mulheres — mas a negra acumula raça + teto de vidro de gênero no topo.</w:t>
      </w:r>
    </w:p>
    <w:p>
      <w:pPr>
        <w:spacing w:before="80" w:after="40"/>
      </w:pPr>
      <w:r>
        <w:rPr>
          <w:rFonts w:ascii="Calibri" w:hAnsi="Calibri"/>
          <w:b/>
          <w:i w:val="0"/>
          <w:color w:val="FF8F00"/>
          <w:sz w:val="22"/>
        </w:rPr>
        <w:t>▌ O que dizer se perguntarem sobre interseccionalidade (GLMM):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efeito não é uniforme entre desfechos. No ACESSO à categoria qualificada, a mulher negra é até alçada (OR 1,33), porque profissões feminizadas — magistério, enfermagem, administrativo — são CBO 1–4; o mais barrado é o homem negro. Mas no TOPO da renda o quadro inverte: a mulher negra é a mais excluída de todas (OR 0,34 no decil superior). O teto de vidro não é racial nem sexualmente neutro — recai com força máxima sobre ela.'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'A interação é sub-aditiva (não é soma simples), mas isso não a protege: ela pode ENTRAR em ocupações qualificadas, mas é sistematicamente barrada de CHEGAR AO TOPO da remuneração — raça e gênero se combinam exatamente onde mais importa para a ascensão.'</w:t>
      </w:r>
    </w:p>
    <w:p/>
    <w:p>
      <w:pPr>
        <w:pStyle w:val="Heading2"/>
      </w:pPr>
      <w:r>
        <w:rPr>
          <w:rFonts w:ascii="Calibri" w:hAnsi="Calibri"/>
          <w:color w:val="1F3864"/>
        </w:rPr>
        <w:t>Figura 10 — SHAP Values: Importância das Variáveis no XGBoost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366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mportance_xg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Importância média dos SHAP values por variável. R²=0,6162.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X: importância média absoluta dos SHAP values — quanto cada variável 'move' a predição de renda em média, independente de direção.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Barras maiores = variáveis mais determinantes para a renda prevista pelo modelo.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Variáveis em vermelho/negativo = associadas a menores rendas. Variáveis em azul/positivo = associadas a maiores rendas.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Ranking esperado e o que significa: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#1 Renda média da UPA (|SHAP|≈0,272): onde você mora supera o quanto você estudou como determinante de renda — confirma Wilson (1987) e justifica o HLM.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#2 Horas trabalhadas (|SHAP|≈0,166): nova variável extraída dos ZIPs brutos. Volume de trabalho é o segundo maior determinante.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#3–#4 CBO e emprego formal: variáveis também extraídas dos ZIPs — sua contribuição metodológica principal. Sem elas, o modelo subestimaria o papel da ocupação.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#11 Raça/negro (|SHAP|≈0,029): após todos os controles, a raça ainda move a predição em −2,5%. Não é o maior fator — mas é o fator que não deveria existir em um mercado de trabalho não discriminatório.</w:t>
      </w:r>
    </w:p>
    <w:p>
      <w:pPr>
        <w:spacing w:before="80" w:after="40"/>
      </w:pPr>
      <w:r>
        <w:rPr>
          <w:rFonts w:ascii="Calibri" w:hAnsi="Calibri"/>
          <w:b/>
          <w:i w:val="0"/>
          <w:color w:val="1565C0"/>
          <w:sz w:val="22"/>
        </w:rPr>
        <w:t>▌ O que dizer se perguntarem sobre interpretabilidade do XGBoost: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SHAP resolve o problema black-box do XGBoost. Ele decompõe a predição de cada observação individualmente, garantindo aditividade e consistência (propriedades de Shapley). Um simples gráfico de feature importance do XGBoost não teria essas garantias — o SHAP é o gold standard atual para interpretabilidade de modelos de ML.'</w:t>
      </w:r>
    </w:p>
    <w:p/>
    <w:p>
      <w:pPr>
        <w:pStyle w:val="Heading2"/>
      </w:pPr>
      <w:r>
        <w:rPr>
          <w:rFonts w:ascii="Calibri" w:hAnsi="Calibri"/>
          <w:color w:val="1F3864"/>
        </w:rPr>
        <w:t>O Papel do Machine Learning no Trabalho (o que dizer na defesa)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que o ML prediz e por que está no trabalho: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Prediz a RENDA (log_renda) a partir de 28 variáveis (individuais, ocupação/CBO e contexto de UPA/UF). Desempenho: XGBoost R²=0,62; Random Forest R²=0,57.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NÃO é o motor causal (isso é HLM/GLMM/Oaxaca/Heckman/Oster). Cumpre TRÊS funções: (1) triangulação/robustez — método não-paramétrico, sem supor linearidade, confirma o sinal econométrico; (2) interpretabilidade via SHAP — quantifica a contribuição de cada variável e suas interações; (3) mecanismo tangível — waterfalls de casos individuais.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Achado central do SHAP (forte para a defesa):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preditor nº 1 é a RENDA MÉDIA DA UPA (bairro) — acima da escolaridade e de qualquer traço individual. A variável 'negro' tem importância DIRETA modesta (abaixo do top-12).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Isso CONFIRMA a tese (não contradiz): a raça tem efeito direto pequeno porque opera POR MEIO dos mediadores (onde mora, ocupação, formalidade), que são moldados pela barreira racial — a tradução computacional do Oaxaca-Blinder (a maior parte do gap é 'dotações', mas dotações são produto de segregação e exclusão de acesso).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conecta com o resto do trabalho: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HLM: o domínio do contexto no SHAP espelha a mediação contextual do HLM (~52% via UPA). Oaxaca: importância direta pequena da raça ↔ gap majoritariamente de dotações. GLMM: o ML modela RENDA, o GLMM modela ACESSO (faces complementares). SNA: a parcela residual da raça + betweenness=0 explicam por que o diploma negro rende menos. PO: a importância SHAP ajuda a calibrar as prioridades das políticas.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Explicar vs. prever: a heterogeneidade geográfica (random slope) é inferencialmente real, mas adicionar UF ao ML não muda o R² (testado: ΔR²≈0) — o contexto já está nas features. Use essa distinção se questionarem.</w:t>
      </w:r>
    </w:p>
    <w:p>
      <w:pPr>
        <w:spacing w:before="80" w:after="40"/>
      </w:pPr>
      <w:r>
        <w:rPr>
          <w:rFonts w:ascii="Calibri" w:hAnsi="Calibri"/>
          <w:b/>
          <w:i w:val="0"/>
          <w:color w:val="FF8F00"/>
          <w:sz w:val="22"/>
        </w:rPr>
        <w:t>▌ Se perguntarem 'por que ML se já tem econometria?':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ML não substitui a econometria — triangula. Se um modelo flexível, livre de supor linearidade e capaz de captar qualquer interação, chega ao MESMO diagnóstico (o contexto domina, a raça opera via mediadores), o achado deixa de ser artefato de especificação. E o SHAP mostra COMO a desigualdade atua: o bairro prediz mais que o diploma — desigualdade estrutural e territorial.'</w:t>
      </w:r>
    </w:p>
    <w:p/>
    <w:p>
      <w:r>
        <w:br w:type="page"/>
      </w:r>
    </w:p>
    <w:p>
      <w:pPr>
        <w:pStyle w:val="Heading2"/>
      </w:pPr>
      <w:r>
        <w:rPr>
          <w:rFonts w:ascii="Calibri" w:hAnsi="Calibri"/>
          <w:color w:val="1F3864"/>
        </w:rPr>
        <w:t>Figura 11 — Rede Social Ocupacional: Betweenness por Raça e Escolaridade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694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_rede_demografic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Rede de co-ocupação. Nós = grupos de raça × educação. Tamanho do nó = betweenness centrality.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Nós: cada nó representa um grupo (ex: 'negro + superior completo', 'branco + médio').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Arestas: conexão = co-ocorrência na mesma ocupação/setor.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Tamanho do nó: proporcional à betweenness centrality — quão central o grupo é como ponte entre diferentes clusters da rede.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Cor/posição: grupos brancos tendem a ocupar o centro da rede; grupos negros ficam na periferia independente do nível educacional.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Achado principal: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Brancos com pós-graduação têm alta betweenness: são brokers que conectam grupos diferentes — acesso a vagas, informação e promoções (Burt, 2004).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Negros com pós-graduação têm betweenness ≈ 0: mesmo com as mesmas credenciais, não ocupam posições de ponte na rede. As credenciais 'valem menos' porque não convertem em acesso às redes de conversão.</w:t>
      </w:r>
    </w:p>
    <w:p>
      <w:pPr>
        <w:spacing w:before="80" w:after="40"/>
      </w:pPr>
      <w:r>
        <w:rPr>
          <w:rFonts w:ascii="Calibri" w:hAnsi="Calibri"/>
          <w:b/>
          <w:i w:val="0"/>
          <w:color w:val="1F3864"/>
          <w:sz w:val="22"/>
        </w:rPr>
        <w:t>▌ O que dizer se perguntarem: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'A SNA adiciona uma dimensão que o HLM e o logit não capturam: o capital social estrutural. Mesmo que um negro consiga entrar em uma ocupação qualificada, sua betweenness=0 significa que ele não tem acesso às redes informais que geram promoção, mentoria e informação antecipada sobre vagas. Isso explica parte do gap residual de 6,2% do HLM M4.'</w:t>
      </w:r>
    </w:p>
    <w:p/>
    <w:p>
      <w:pPr>
        <w:pStyle w:val="Heading2"/>
      </w:pPr>
      <w:r>
        <w:rPr>
          <w:rFonts w:ascii="Calibri" w:hAnsi="Calibri"/>
          <w:color w:val="1F3864"/>
        </w:rPr>
        <w:t>Figura 12 — Gini por Setor (H1): Estado como Indutor de Desigualdade?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212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h1_gin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1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Gini por setor (público vs privado) e decomposição de Theil T.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Gráfico de barras: Gini total (0,4879), público (0,4662) e privado (0,4715).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Gini menor no público = distribuição de renda mais igualitária dentro do setor público.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Decomposição de Theil T: 7,8% da desigualdade total é ENTRE os dois setores. Isso significa que a diferença de renda médio entre público e privado gera 7,8% da desigualdade agregada.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Interpretação da hipótese H1: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estado REDUZ a desigualdade interna (Gini público &lt; privado), mas o prêmio salarial do servidor (+99,6% vs privado) cria uma divisão ENTRE setores que contribui 7,8% para a desigualdade total.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Conclusão de H1: o estado é simultaneamente redutor de desigualdade interna e gerador de desigualdade interssetorial. A resposta é 'ambos' — depende da perspectiva.</w:t>
      </w:r>
    </w:p>
    <w:p/>
    <w:p>
      <w:pPr>
        <w:pStyle w:val="Heading2"/>
      </w:pPr>
      <w:r>
        <w:rPr>
          <w:rFonts w:ascii="Calibri" w:hAnsi="Calibri"/>
          <w:color w:val="1F3864"/>
        </w:rPr>
        <w:t>Contexto macro recente do IBGE (POF + Gini 2025) — o que dizer se a banca perguntar</w:t>
      </w:r>
    </w:p>
    <w:p>
      <w:pPr>
        <w:spacing w:before="40" w:after="120"/>
        <w:jc w:val="left"/>
      </w:pPr>
      <w:r>
        <w:rPr>
          <w:rFonts w:ascii="Calibri" w:hAnsi="Calibri"/>
          <w:b w:val="0"/>
          <w:i w:val="0"/>
          <w:sz w:val="22"/>
        </w:rPr>
        <w:t>A banca pode citar notícias recentes do IBGE. Distinga o que melhorou (qualidade de vida) do que NÃO melhorou (desigualdade de renda):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A) QUALIDADE DE VIDA melhorou (POF 2017–2018): o Índice de Perda de Qualidade de Vida caiu ~30%, MAS o gap racial persiste (chefes pretos/pardos 0,183 vs brancos 0,122) e o territorial também (Norte 0,223 / Nordeste 0,207 vs Sul 0,114).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B) DESIGUALDADE DE RENDA subiu: o Gini do rendimento domiciliar per capita subiu de 0,487 (2024) para 0,491 (2025), puxado pelo topo — 10% mais ricos +8,7% vs 10% mais pobres +3,1% (PNAD Contínua, Rendimento de Todas as Fontes 2025).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RESSALVA METODOLÓGICA (importante): o Gini calculado no trabalho (~0,48) é da RENDA DO TRABALHO entre OCUPADOS — conceito DIFERENTE do Gini domiciliar per capita de todas as fontes do IBGE (~0,49). Níveis próximos, mas medidas distintas; podem divergir em tendência (a alta de 2025 vem de renda não-trabalho do topo).</w:t>
      </w:r>
    </w:p>
    <w:p>
      <w:pPr>
        <w:spacing w:before="80" w:after="40"/>
      </w:pPr>
      <w:r>
        <w:rPr>
          <w:rFonts w:ascii="Calibri" w:hAnsi="Calibri"/>
          <w:b/>
          <w:i w:val="0"/>
          <w:color w:val="FF8F00"/>
          <w:sz w:val="22"/>
        </w:rPr>
        <w:t>▌ O que dizer se perguntarem 'o Gini do IBGE não bate com o seu?' ou 'o Brasil não melhorou?':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que melhorou foi a QUALIDADE DE VIDA (POF), não o Gini de renda — que, aliás, SUBIU em 2025 (0,491), puxado pelo topo. Meu trabalho é coerente com isso: documenta uma barreira racial que persiste apesar do avanço social agregado.'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'Meu Gini (~0,48) e o do IBGE (~0,49) medem coisas diferentes: o meu é da renda do TRABALHO entre OCUPADOS; o do IBGE é da renda DOMICILIAR PER CAPITA de TODAS as fontes (inclui aposentadorias, transferências, capital e pessoas sem renda). Níveis próximos, mas não diretamente comparáveis — por isso não os comparo como se fossem a mesma métrica.'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contraste territorial reforça minha tese: o IBGE mostra o DF com a maior renda per capita do país, enquanto meus modelos mostram o DF com a MAIOR penalidade racial salarial — riqueza média e desigualdade racial convivem no mesmo território.'</w:t>
      </w:r>
    </w:p>
    <w:p/>
    <w:p>
      <w:pPr>
        <w:pStyle w:val="Heading2"/>
      </w:pPr>
      <w:r>
        <w:rPr>
          <w:rFonts w:ascii="Calibri" w:hAnsi="Calibri"/>
          <w:color w:val="1F3864"/>
        </w:rPr>
        <w:t>Figura 13 — Gaps Racial e de Gênero por Setor (H2/H3)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238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h2h3_ga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3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Gaps salariais controlados por raça e gênero no setor público vs privado.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Barras agrupadas: cada par compara o gap no setor privado vs público, para raça (H2) e gênero (H3).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Valores são coeficientes de regressão controlada (β do dummy negro ou sexo_fem), não diferenças brutas.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Gap racial bruto: privado −44,1% / público −32,4%. Controlado: privado −34,3% / público −28,1%.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Gap de gênero: privado −18,9% / público −21,2% (após controles). O setor público tem gap de GÊNERO maior que o privado — o paradoxo H3.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Interpretação do paradoxo H3: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concurso público iguala a entrada (não há discriminação no acesso ao cargo), mas a progressão de carreira e os cargos de confiança (DAS, cargos militares seniores, judiciário de topo) são preenchidos por nomeação e promoção, onde o viés de gênero persiste.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Resultado: dentro do setor público, mulheres ficam presas nos cargos de entrada enquanto homens avançam — gap maior que no setor privado onde não há esse 'teto de vidro institucionalizado'.</w:t>
      </w:r>
    </w:p>
    <w:p/>
    <w:p>
      <w:pPr>
        <w:pStyle w:val="Heading2"/>
      </w:pPr>
      <w:r>
        <w:rPr>
          <w:rFonts w:ascii="Calibri" w:hAnsi="Calibri"/>
          <w:color w:val="1F3864"/>
        </w:rPr>
        <w:t>Figura 14 — Renda Real e Emprego 2016–2025 (H4)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223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h4_tendenc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Renda real mediana (base IPCA 2016=100) e taxa de emprego 2016–2025.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Y esquerdo (linha): renda real mediana em R$ de 2016.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Y direito (barra ou linha pontilhada): taxa de emprego (% da PEA).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Dois eixos no mesmo gráfico permitem ver a co-evolução das duas séries.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que o padrão mostra: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Emprego sobe consistentemente de 87–88% (2017–2020) para 94,4% em 2025 — máxima histórica.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Renda real cai de R$1.200 (2016) para R$1.106 (2022 — mínima), recupera para R$1.345 (2024) e recua novamente para R$1.283 em 2025.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Divergência entre emprego e renda real: confirma H4 — o crescimento do emprego no governo atual não se traduziu em prosperidade equivalente em termos reais.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 renda nominal sobe (R$1.200→R$2.000), mas deflacionada pelo IPCA (base 2016=100) o ganho real é modesto e volátil.</w:t>
      </w:r>
    </w:p>
    <w:p/>
    <w:p>
      <w:pPr>
        <w:pStyle w:val="Heading2"/>
      </w:pPr>
      <w:r>
        <w:rPr>
          <w:rFonts w:ascii="Calibri" w:hAnsi="Calibri"/>
          <w:color w:val="1F3864"/>
        </w:rPr>
        <w:t>Figura 15 — Simulação de Inclusão Produtiva (H4)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758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h4_inclusa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Ganho potencial de renda se negros tivessem a mesma distribuição CBO que brancos.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Duas barras: renda média negra ATUAL vs renda CONTRAFACTUAL (se negros tivessem a mesma distribuição de CBO que brancos).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 diferença entre as barras = +127,3% = ganho potencial de renda se a segregação ocupacional fosse eliminada.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Premissas da simulação: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Mantém os salários de cada grupo CBO constantes — só redistribui negros pelos grupos como se tivessem o perfil CBO dos brancos.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Proxy conservador: não considera mudança de produtividade, apenas redistribuição.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proxy de PIB (+74,3 p.p.) assume que negros representam 58% da força de trabalho e que o ganho de renda se traduz proporcionalmente em demanda agregada.</w:t>
      </w:r>
    </w:p>
    <w:p/>
    <w:p>
      <w:pPr>
        <w:pStyle w:val="Heading2"/>
      </w:pPr>
      <w:r>
        <w:rPr>
          <w:rFonts w:ascii="Calibri" w:hAnsi="Calibri"/>
          <w:color w:val="1F3864"/>
        </w:rPr>
        <w:t>Figura 16 — Gap de Qualificação 2016–2025 (H5: Armadilha da Renda Média)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200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_h5_armadilh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0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% de trabalhadores com alta qualificação por raça ao longo do tempo.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X: anos (2016–2025).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Y: % de trabalhadores com alta qualificação (CBO grupos 1 e 2, ou superior completo com função compatível).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Três linhas: total, brancos e negros.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que o padrão mostra: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Brancos: 19,7% (2016) → 22,4% (2025) — crescimento de +2,7 p.p. em 10 anos.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Negros: 9,6% (2016) → 11,0% (2025) — crescimento de +1,4 p.p. em 10 anos.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As três linhas sobem em paralelo: o gap absoluto permanece praticamente constante (≈10 p.p.). Não há convergência.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Isso é a armadilha da renda média: o Brasil eleva a qualificação geral, mas a desigualdade racial na qualificação não diminui — e sem quebrar essa barreira, o país não consegue sair da armadilha de renda média (Hsieh et al., 2019).</w:t>
      </w:r>
    </w:p>
    <w:p/>
    <w:p>
      <w:pPr>
        <w:pStyle w:val="Heading2"/>
      </w:pPr>
      <w:r>
        <w:rPr>
          <w:rFonts w:ascii="Calibri" w:hAnsi="Calibri"/>
          <w:color w:val="1F3864"/>
        </w:rPr>
        <w:t>Figura 17 — Comparação de Modelos: Log-Likelihood e AIC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513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s_loglik_ai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51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LL e AIC para 10 modelos. Quanto menor o AIC, melhor o ajuste penalizado por complexidade.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Log-Likelihood (LL): quanto mais próximo de zero (menos negativo), melhor o ajuste. Mais parâmetros sempre melhoram o LL — por isso o AIC penaliza.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AIC = −2×LL + 2×k, onde k = número de parâmetros. Modelos mais simples com ajuste equivalente são preferidos.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Eixo X: os 10 modelos em ordem de complexidade crescente (OLS Nulo → OLS Individual → OLS+FE → HLM Nulo → ... → HLM Ocupação).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Colunas/barras com dois painéis: LL (painel superior) e AIC (painel inferior).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Achado principal: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OLS+FE(UF) tem AIC = 3.684.833 — PIOR que OLS Individual (3.660.787). Adicionar dummies de UF não ajuda porque os estados são unidades muito grandes para capturar a variação real.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HLM Contextual tem AIC = 3.588.684 — o melhor ajuste penalizado entre os modelos intermediários. Demonstra que a estrutura hierárquica compensa o custo dos parâmetros adicionais.</w:t>
      </w:r>
    </w:p>
    <w:p/>
    <w:p>
      <w:pPr>
        <w:pStyle w:val="Heading2"/>
      </w:pPr>
      <w:r>
        <w:rPr>
          <w:rFonts w:ascii="Calibri" w:hAnsi="Calibri"/>
          <w:color w:val="1F3864"/>
        </w:rPr>
        <w:t>Figura 18 — LRT Waterfall e Trajetória do ICC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380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s_lrt_ic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3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LRT (Likelihood Ratio Test) entre modelos encadeados e trajetória do ICC por modelo.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Painel esquerdo (waterfall de LRT): cada barra mostra o χ² do teste de razão de verossimilhança ao adicionar um nível ao modelo. Barras positivas = o modelo mais complexo é estatisticamente superior.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LRT HLM Nulo vs OLS Nulo: χ²=191.625 (Δk=1) — vastamente significativo. Isso prova que existe estrutura hierárquica nos dados: as rendas dentro de uma mesma UPA são mais parecidas entre si do que entre UPAs diferentes.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Painel direito (ICC): Intra-Class Correlation por modelo — % da variância total que se deve às diferenças entre UPAs. ICC=9,80% em M0.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Por que o ICC &gt; 5% importa: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Se o ICC fosse &lt; 5%, o OLS seria suficiente (Raudenbush &amp; Bryk, 2002). Com 9,80%, ignorar a hierarquia produz erros padrão subestimados — e inferência estatística inválida.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LRT χ²=191.625 com Δk=1 prova que o componente de variância aleatória da UPA não é zero: hierarquia não é apenas conveniência, é estrutura real dos dados.</w:t>
      </w:r>
    </w:p>
    <w:p>
      <w:pPr>
        <w:spacing w:before="80" w:after="40"/>
      </w:pPr>
      <w:r>
        <w:rPr>
          <w:rFonts w:ascii="Calibri" w:hAnsi="Calibri"/>
          <w:b/>
          <w:i w:val="0"/>
          <w:color w:val="2E7D32"/>
          <w:sz w:val="22"/>
        </w:rPr>
        <w:t>▌ O que dizer se perguntarem sobre a escolha do HLM: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'Não escolhi HLM por ser mais sofisticado — escolhi porque os dados me obrigaram. O ICC=9,80% e o LRT χ²=191.625 mostram que a estrutura hierárquica é real e significativa. Ignorar isso com OLS produziria inferência inválida — erros padrão subestimados e p-valores inflados. A escolha foi ditada pelos dados, não pela preferência metodológica.'</w:t>
      </w:r>
    </w:p>
    <w:p/>
    <w:p>
      <w:pPr>
        <w:pStyle w:val="Heading2"/>
      </w:pPr>
      <w:r>
        <w:rPr>
          <w:rFonts w:ascii="Calibri" w:hAnsi="Calibri"/>
          <w:color w:val="1F3864"/>
        </w:rPr>
        <w:t>Análises de Sensibilidade — Konfound, E-values e Oster δ*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Como ler: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Konfound (pkonfound): quantos casos precisariam ser trocados de trat./controle, ou qual % dos casos precisaria estar mal alocado, para reverter a conclusão. Quanto maior, mais robusto.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E-value (VanderWeele &amp; Ding, 2017): qual a magnitude mínima de uma variável omitida (como razão de risco) para anular o efeito observado. E-value ≥ 2 indica boa resistência.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Oster δ*: qual proporção da variação total dos controles observados seria necessária nos não-observados para anular o efeito. δ* negativo confirma robustez (variáveis omitidas teriam que atuar na direção contrária).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Resultados: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Konfound HLM: M1=99,5%; M2=M3=98,8%; M4=98,5% — quase 100% dos casos precisariam ser mal alocados para reverter a conclusão de discriminação.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OLS subestima: gap OLS=43,8%–48,5% vs HLM=50,8%–53,0% (Δ=5,4–9,7 p.p.) — o viés de subestimação do OLS fica em torno de 9,7 p.p. em M1 e 5,4 p.p. em M4.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E-values GLMM lme4 (PEA completa): M1=2,319; M2=2,243 — variável omitida precisaria ter associação ≥2,3× com raça E com acesso a ocupações para eliminar o OR.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Oster δ*: M1=−0,48; M2=−0,43; M4=−0,39 — todos negativos, confirmando que variáveis omitidas teriam que atenuar (não amplificar) para anular o gap.</w:t>
      </w:r>
    </w:p>
    <w:p>
      <w:pPr>
        <w:spacing w:before="80" w:after="40"/>
      </w:pPr>
      <w:r>
        <w:rPr>
          <w:rFonts w:ascii="Calibri" w:hAnsi="Calibri"/>
          <w:b/>
          <w:i w:val="0"/>
          <w:color w:val="2E7D32"/>
          <w:sz w:val="22"/>
        </w:rPr>
        <w:t>▌ O que dizer se perguntarem sobre endogeneidade ou variáveis omitidas: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'Testei três frameworks de sensibilidade independentes. O pkonfound mostra que seria necessário reclassificar ~99% das observações para reverter a conclusão — impossível dado o N=7,7 milhões. O E-value ≥2,0 exige que uma variável omitida tenha associação dobrada com raça E com renda simultaneamente — sem candidato plausível. E o Oster δ* negativo significa que a seleção nas variáveis omitidas teria que ser na direção oposta à seleção observada. Os três convergem: o resultado é robusto.'</w:t>
      </w:r>
    </w:p>
    <w:p/>
    <w:p>
      <w:pPr>
        <w:pStyle w:val="Heading2"/>
      </w:pPr>
      <w:r>
        <w:rPr>
          <w:rFonts w:ascii="Calibri" w:hAnsi="Calibri"/>
          <w:color w:val="1F3864"/>
        </w:rPr>
        <w:t>Análises Complementares — Heckman, Tendência Temporal e Event Study COVID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Correção de Seleção Amostral (Heckman):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Problema: analisamos apenas quem tem renda (PEA ocupada). A seleção para participar do mercado de trabalho pode ser endógena — se negros participam menos, o gap observado é subestimado.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Modelo de seleção (Probit 1ª etapa): educação, idade, número de filhos, presença de cônjuge → gera lambda de Mills (λ).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Resultado: λ=−1,985 (***) — seleção amostral significativa e negativa. Gap OLS=−9,71% → Gap Heckman=−7,41% (Δ=+2,3 p.p.): o gap bruto estava SUBESTIMADO; negros mais excluídos do mercado atenuavam o gap aparente.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Tendência Temporal e Teste de Chow: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Gap anual estimado: a discriminação racial mantém-se estável ao longo do período (tendência linear δ=0,0008/ano, não significativa).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Teste de Chow (2020): F(2,6)=7,012; p=0,027 — quebra estrutural significativa em 2020 (pandemia). O gap racial NÃO teve convergência pré-COVID.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Event Study COVID (DiD):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Tratamento: pós-2020 (COVID). Estimativa: τ=+0,015; SE=0,007; p=0,025.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Interpretação: τ=+0,015 indica **convergência aparente** de curto prazo — o gap reduziu-se 1,5 p.p. após 2020. Provável seleção de saída: negros de menor renda saíram do mercado formal, elevando a renda relativa dos que ficaram.</w:t>
      </w:r>
    </w:p>
    <w:p>
      <w:pPr>
        <w:spacing w:before="80" w:after="40"/>
      </w:pPr>
      <w:r>
        <w:rPr>
          <w:rFonts w:ascii="Calibri" w:hAnsi="Calibri"/>
          <w:b/>
          <w:i w:val="0"/>
          <w:color w:val="1F3864"/>
          <w:sz w:val="22"/>
        </w:rPr>
        <w:t>▌ O que dizer se perguntarem sobre essas análises: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Heckman resolve a crítica de que estamos vendo apenas os 'bem-sucedidos'. O resultado (λ negativo e gap que cresce com a correção) indica que a exclusão racial do mercado de trabalho é real e que os excluídos estariam em situação ainda pior.'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Chow mostra quebra estrutural em 2020. O DiD mostra convergência aparente de curto prazo (τ=+0.015): negros sofreram menos no diferencial salarial, mas provavelmente por seleção de saída — não por melhora real. O gap de longo prazo permanece estável.'</w:t>
      </w:r>
    </w:p>
    <w:p/>
    <w:p>
      <w:pPr>
        <w:pStyle w:val="Heading2"/>
      </w:pPr>
      <w:r>
        <w:rPr>
          <w:rFonts w:ascii="Calibri" w:hAnsi="Calibri"/>
          <w:color w:val="1F3864"/>
        </w:rPr>
        <w:t>Pesquisa Operacional — Priorização de Políticas (TOPSIS, AHP, LP)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que é e por que está na dissertação: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PO (Pesquisa Operacional) transforma o diagnóstico empírico em recomendações de política priorizadas objetivamente. Sem PO, a dissertação terminaria com 'há discriminação' — com PO, termina com 'e aqui está a política mais custo-eficaz para combatê-la, formalmente justificada'.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Métodos: TOPSIS (ranking multicritério), AHP (pesos dos critérios, CR=0,004 ← consistente), LP (Programação Linear com restrição orçamentária), Pareto frontier (eficiência custo × impacto).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TOPSIS — Ranking de Políticas (critérios: impacto no gap, custo, viabilidade, prazo):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#1 Cotas em CBO 1–4 (P1): CC=0,834 — política mais próxima da 'solução ideal'. Ataca diretamente o mecanismo de exclusão de acesso a ocupações qualificadas que explica 84% do gap via dotações.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#2 Equidade Educacional (P2): CC=0,588 — segunda mais eficiente. Reduz o componente de dotações educacionais.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#3 Mentoria e Redes (P3): CC=0,396 — responde diretamente ao achado da SNA (betweenness=0 para negros = sem capital social estrutural).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#4 Transparência Salarial (P4): CC=0,342 — ataca os retornos diferenciais (16%).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PL-1 (Cotas CBO): projeta redução de 25,1% do gap bruto em simulações de LP.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AHP — Consistência dos Pesos: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CR=0,004 (&lt; 0,10 = aceitável). A matriz de comparação por pares de critérios é consistente — os pesos refletem preferências racionais e transitivas.</w:t>
      </w:r>
    </w:p>
    <w:p>
      <w:pPr>
        <w:spacing w:before="80" w:after="40"/>
      </w:pPr>
      <w:r>
        <w:rPr>
          <w:rFonts w:ascii="Calibri" w:hAnsi="Calibri"/>
          <w:b/>
          <w:i w:val="0"/>
          <w:color w:val="FF8F00"/>
          <w:sz w:val="22"/>
        </w:rPr>
        <w:t>▌ O que dizer se perguntarem sobre PO: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'A PO não é um método avaliativo adicional — é a tradução dos resultados empíricos em ação. A decomposição OB mostra que 84% do gap é de dotações → isso informa os pesos do TOPSIS. A SNA mostra que betweenness=0 → isso entra no critério de viabilidade da política P3. Os métodos são encadeados: diagnóstico → priorização → simulação.'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TOPSIS é um método multi-critério MCDM clássico (Hwang &amp; Yoon, 1981). Ele ranqueia alternativas pela distância relativa à solução ideal e à pior solução. CR&lt;0,10 no AHP é o padrão de consistência de Saaty (1980) — garantia de que os pesos derivados da comparação por pares são internamente consistentes.'</w:t>
      </w:r>
    </w:p>
    <w:p/>
    <w:p>
      <w:pPr>
        <w:pStyle w:val="Heading2"/>
      </w:pPr>
      <w:r>
        <w:rPr>
          <w:rFonts w:ascii="Calibri" w:hAnsi="Calibri"/>
          <w:color w:val="1F3864"/>
        </w:rPr>
        <w:t>Pesquisa Operacional Regionalizada — Focalização Territorial (BLUP por UF)</w:t>
      </w:r>
    </w:p>
    <w:p>
      <w:pPr>
        <w:spacing w:before="8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O que é e por que está na dissertação: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Extensão da PO que usa o achado do random slope (M3): a penalidade racial NÃO é homogênea entre estados (LRT p&lt;0,001). Em vez de tratar o gap como um número nacional, usa-se o BLUP do MixedLM como gap específico de cada uma das 27 UFs, e um programa linear aloca o orçamento priorizando os estados de maior penalidade.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Resultado central: focalizar o orçamento nas UFs mais críticas reduz o gap agregado 68,2% acima da alocação uniforme com orçamento intermediário (B=9 UFs) — e até 125,5% quando o orçamento é escasso (B=3). O ganho vem só da focalização (a efetividade da política é mantida constante entre estados).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Prioridades: DF, AM, TO, PA, AC (maior penalidade × maior população negra afetada). Amplitude: DF −20,8% → MG −1,5%. As maiores penalidades concentram-se no Distrito Federal e no Norte — estados mais ricos têm penalidade maior.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Decisão metodológica: a base oficial é o BLUP do modelo misto, NÃO a aproximação rápida por OLS estadual + shrinkage empirical Bayes. Os dois divergem (Spearman ρ=0,45), pois o BLUP mantém os coeficientes de controle agrupados nacionalmente enquanto o OLS estadual os libera — não são intercambiáveis.</w:t>
      </w:r>
    </w:p>
    <w:p>
      <w:pPr>
        <w:spacing w:before="80" w:after="40"/>
      </w:pPr>
      <w:r>
        <w:rPr>
          <w:rFonts w:ascii="Calibri" w:hAnsi="Calibri"/>
          <w:b/>
          <w:i w:val="0"/>
          <w:color w:val="FF8F00"/>
          <w:sz w:val="22"/>
        </w:rPr>
        <w:t>▌ O que dizer se perguntarem sobre a PO regionalizada: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'O random slope provou heterogeneidade geográfica; a PO regional traduz isso em prescrição: como o gap varia de ~−1% a ~−21% entre UFs, espalhar o orçamento por igual é subótimo. Concentrar nas UFs de maior penalidade entrega até dois terços a mais de redução com o mesmo recurso — argumento direto a favor de um desenho federativo diferenciado de política.'</w:t>
      </w:r>
    </w:p>
    <w:p>
      <w:pPr>
        <w:spacing w:after="40"/>
        <w:ind w:left="454"/>
      </w:pPr>
      <w:r>
        <w:rPr>
          <w:rFonts w:ascii="Calibri" w:hAnsi="Calibri"/>
          <w:b w:val="0"/>
          <w:i w:val="0"/>
          <w:sz w:val="21"/>
        </w:rPr>
        <w:t>'Usei os BLUPs (estimadores empíricos de Bayes do modelo misto), não OLS por estado. Mostrei formalmente que eles divergem (Spearman ≈0,42) porque o OLS estadual libera todos os coeficientes de controle, enquanto o modelo misto os mantém nacionais — o BLUP é a estimativa principiada e coerente com o random slope já reportado.'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1854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po_region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85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Mapa de calor — penalidade racial salarial por estado (mais escuro = maior desvantagem; ★ = estados prioritários para focalizar o orçamento).</w:t>
      </w: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3864"/>
          <w:sz w:val="22"/>
        </w:rPr>
        <w:t>Random slope também no GLMM (acesso) — versão real (lme4), não proxy: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 random slope de negro foi estimado de verdade (lme4::glmer, população completa) nos três desfechos de acesso/teto. O LRT rejeita τ²=0 em todos (p&lt;0,001): a barreira de ACESSO varia entre estados, como o salário — os dois mecanismos da discriminação são geográficos.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Contraste a destacar: o gap salarial é MAIOR nos estados ricos (ρ=−0,37), mas a barreira de acesso a cargos qualificados é MENOR neles (ρ=0,65) — acesso mais fácil onde há mais empregos qualificados, porém gap salarial maior uma vez dentro.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Setor: o concurso público NÃO dissolve a barreira de acesso (OR público=0,705 ≈ privado=0,698) nem a homogeneíza entre UFs — refina 'o Estado ajuda, mas não resolve'.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Contraste SALÁRIO × ACESSO (HLM por setor): no salário o público ATENUA o gap racial (7,7% vs 11,1% privado) e o homogeneíza entre UFs; no acesso, não. Frase de defesa: 'o concurso equaliza o pagamento de quem entra, não a entrada'.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Nível de gênero (HLM): o gap de gênero também varia entre estados (LRT p&lt;0,001), com dispersão MAIOR que o racial (DP 0,064 vs 0,049); ρ negativo (−0,46) — onde a penalidade racial é maior, a de gênero tende a ser menor.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Gênero no GLMM (acesso): mulheres têm MAIS acesso a ocupações qualificadas (OR=1,99&gt;1, profissões feminizadas), mas MUITO MENOS ao topo da renda (OR top10=0,518). Frase: 'o teto de vidro de gênero é de REMUNERAÇÃO, não de categoria' — e varia mais entre estados que o racial no topo (~10×).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PARTE 3 — EQUAÇÕES PARA MEMORIZAR NA DEFESA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2"/>
        </w:rPr>
        <w:t>Não é necessário decorar todas as equações — mas saber nomear e descrever cada componente dos 3 principais modelos demonstra domínio metodológico.</w:t>
      </w:r>
    </w:p>
    <w:p>
      <w:pPr>
        <w:pStyle w:val="Heading2"/>
      </w:pPr>
      <w:r>
        <w:rPr>
          <w:rFonts w:ascii="Calibri" w:hAnsi="Calibri"/>
          <w:color w:val="1F3864"/>
        </w:rPr>
        <w:t>3.1  Modelo HLM M4 (equação de dois níveis simplificada)</w:t>
      </w:r>
    </w:p>
    <w:p>
      <w:pPr>
        <w:spacing w:before="120" w:after="120"/>
        <w:jc w:val="left"/>
      </w:pPr>
      <w:r>
        <w:rPr>
          <w:rFonts w:ascii="Calibri" w:hAnsi="Calibri"/>
          <w:b/>
          <w:i w:val="0"/>
          <w:sz w:val="22"/>
        </w:rPr>
        <w:t>Nível 1 (indivíduo i na UPA j):</w:t>
      </w:r>
    </w:p>
    <w:p>
      <w:pPr>
        <w:spacing w:before="0" w:after="120"/>
        <w:jc w:val="left"/>
      </w:pPr>
      <w:r>
        <w:rPr>
          <w:rFonts w:ascii="Calibri" w:hAnsi="Calibri"/>
          <w:b w:val="0"/>
          <w:i/>
          <w:color w:val="222222"/>
          <w:sz w:val="21"/>
        </w:rPr>
        <w:t>log(renda_ij) = β₀j + β₁(negro_i) + β₂(sexo_fem_i) + β₃(horas_c_i) + β₄(emprego_formal_i) + β₅(edu_anos_i) + β₆(idade_c_i) + β₇(ocp_grupo_cbo_i) + ε_ij</w:t>
      </w:r>
    </w:p>
    <w:p>
      <w:pPr>
        <w:spacing w:before="120" w:after="120"/>
        <w:jc w:val="left"/>
      </w:pPr>
      <w:r>
        <w:rPr>
          <w:rFonts w:ascii="Calibri" w:hAnsi="Calibri"/>
          <w:b/>
          <w:i w:val="0"/>
          <w:sz w:val="22"/>
        </w:rPr>
        <w:t>Nível 2 (UPA j dentro de UF k):</w:t>
      </w:r>
    </w:p>
    <w:p>
      <w:pPr>
        <w:spacing w:before="0" w:after="120"/>
        <w:jc w:val="left"/>
      </w:pPr>
      <w:r>
        <w:rPr>
          <w:rFonts w:ascii="Calibri" w:hAnsi="Calibri"/>
          <w:b w:val="0"/>
          <w:i/>
          <w:color w:val="222222"/>
          <w:sz w:val="21"/>
        </w:rPr>
        <w:t>β₀j = γ₀₀ + γ₀₁(renda_media_upa_j) + γ₀₂(edu_media_upa_j) + u₀j</w:t>
      </w:r>
    </w:p>
    <w:p>
      <w:pPr>
        <w:spacing w:before="0" w:after="120"/>
        <w:jc w:val="left"/>
      </w:pPr>
      <w:r>
        <w:rPr>
          <w:rFonts w:ascii="Calibri" w:hAnsi="Calibri"/>
          <w:b w:val="0"/>
          <w:i/>
          <w:color w:val="666666"/>
          <w:sz w:val="21"/>
        </w:rPr>
        <w:t>Onde u₀j ~ N(0, τ₀₀) é o efeito aleatório da UPA — fonte do ICC.</w:t>
      </w:r>
    </w:p>
    <w:p>
      <w:pPr>
        <w:spacing w:before="120" w:after="120"/>
        <w:jc w:val="left"/>
      </w:pPr>
      <w:r>
        <w:rPr>
          <w:rFonts w:ascii="Calibri" w:hAnsi="Calibri"/>
          <w:b w:val="0"/>
          <w:i w:val="0"/>
          <w:sz w:val="22"/>
        </w:rPr>
        <w:t>O interesse é em β₁: o gap racial líquido após todos os controles. Em M4, β₁ ≈ −0,0644 (−6,2%). O sinal negativo confirma que negros ganham menos, tudo o mais constante.</w:t>
      </w:r>
    </w:p>
    <w:p>
      <w:pPr>
        <w:pStyle w:val="Heading2"/>
      </w:pPr>
      <w:r>
        <w:rPr>
          <w:rFonts w:ascii="Calibri" w:hAnsi="Calibri"/>
          <w:color w:val="1F3864"/>
        </w:rPr>
        <w:t>3.2  Decomposição de Oaxaca-Blinder (two-fold)</w:t>
      </w:r>
    </w:p>
    <w:p>
      <w:pPr>
        <w:spacing w:before="0" w:after="120"/>
        <w:jc w:val="left"/>
      </w:pPr>
      <w:r>
        <w:rPr>
          <w:rFonts w:ascii="Calibri" w:hAnsi="Calibri"/>
          <w:b/>
          <w:i/>
          <w:color w:val="1565C0"/>
          <w:sz w:val="24"/>
        </w:rPr>
        <w:t>Ȳ_B − Ȳ_N  =  (X̄_B − X̄_N)·β_B  +  X̄_N·(β_B − β_N)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Ȳ_B e Ȳ_N: renda média de brancos e negros (em log).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X̄_B − X̄_N: diferença nas características médias (dotações).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β_B: vetor de retornos estimado para brancos (grupo de referência).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β_B − β_N: diferença nos retornos às mesmas características (discriminação de remuneração).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84% do gap vem do primeiro termo (dotações); 16% do segundo (retornos).</w:t>
      </w:r>
    </w:p>
    <w:p>
      <w:pPr>
        <w:pStyle w:val="Heading2"/>
      </w:pPr>
      <w:r>
        <w:rPr>
          <w:rFonts w:ascii="Calibri" w:hAnsi="Calibri"/>
          <w:color w:val="1F3864"/>
        </w:rPr>
        <w:t>3.3  GLMM — Modelo Linear Generalizado Misto (lme4::glmer)</w:t>
      </w:r>
    </w:p>
    <w:p>
      <w:pPr>
        <w:spacing w:before="0" w:after="120"/>
        <w:jc w:val="left"/>
      </w:pPr>
      <w:r>
        <w:rPr>
          <w:rFonts w:ascii="Calibri" w:hAnsi="Calibri"/>
          <w:b/>
          <w:i/>
          <w:color w:val="FF8F00"/>
          <w:sz w:val="24"/>
        </w:rPr>
        <w:t>P(ocp_qualif_ij = 1) = Λ(β₀j + β₁·negro_i + X_i·γ + u₀j)</w:t>
      </w:r>
    </w:p>
    <w:p>
      <w:pPr>
        <w:spacing w:before="0" w:after="120"/>
        <w:jc w:val="left"/>
      </w:pPr>
      <w:r>
        <w:rPr>
          <w:rFonts w:ascii="Calibri" w:hAnsi="Calibri"/>
          <w:b w:val="0"/>
          <w:i/>
          <w:color w:val="444444"/>
          <w:sz w:val="22"/>
        </w:rPr>
        <w:t>β₀j = γ₀₀ + u₀j,  u₀j ~ N(0, σ²ᵤ)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Λ(·): função logística — transforma o preditor linear em probabilidade [0,1].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β₁ (negro): log-odds de negro vs branco. OR M1=0,676 (sem contexto); OR M2=0,693 (com efeito aleatório de UPA). N=7.694.198 (PEA completa).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u₀j: efeito aleatório de UPA j — capta a heterogeneidade entre bairros. ICC M1=21,6% | ICC M2=10,7%.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Implementação: lme4::glmer (Python equivalente via statsmodels/pymer4), nAGQ=0 (aproximação de Laplace) para viabilidade computacional, otimizador bobyqa.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AME M1=−5,04 p.p. | AME M2=−4,73 p.p.: interpretados como diferença de probabilidade de ocupação qualificada atribuída à raça, todas as demais características iguais.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Termos de interação (Tabela 4): negro×sexo_fem β=+0.0416 (***); negro×experiência β=−0.0019 (***); negro×educ_alto/med ns.</w:t>
      </w:r>
    </w:p>
    <w:p>
      <w:pPr>
        <w:spacing w:before="120" w:after="12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jc w:val="center"/>
      </w:pPr>
      <w:r>
        <w:rPr>
          <w:rFonts w:ascii="Calibri" w:hAnsi="Calibri"/>
          <w:b/>
          <w:i/>
          <w:color w:val="1F3864"/>
          <w:sz w:val="26"/>
        </w:rPr>
        <w:t>Boa defesa, Ricardo.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