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0,691.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OR=0,674 — negros têm 32,6% menos chance. ICC M1=22,2%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OR=0,691 — após controlar o contexto local, negros têm 30,9% menos chance. ICC M2=10,8%.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−5,16 p.p.: sem controle de contexto, negros têm 5,16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−4,84 p.p.: com efeito aleatório de UPA, o efeito líquido de ser negro é −4,84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ICC=22,2%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M1=2,331; M2=2,254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CC=0,835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M1=0,674 (sem contexto); OR M2=0,691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M1=22,2% | ICC M2=10,8%.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M1=−5,16 p.p. | AME M2=−4,84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