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0,747.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(≈52,6%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OR=0,705 — negros têm 29,6% menos chance. ICC M1=26,2% (variação entre UPAs elevada).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OR=0,747 — após controlar o contexto local, negros têm 25,3% menos chance. ICC M2=22,5%.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−1,30 p.p.: sem controle de contexto, negros têm 1,30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−1,07 p.p.: com efeito aleatório de UPA, o efeito líquido de ser negro é −1,07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ICC=26,2%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−4%; q50 ≈ −6,5%; q90 ≈ −7,5%;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M1=0,705 (sem contexto); OR M2=0,747 (com efeito aleatório de UPA).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M1=26,2% | ICC M2=22,5%.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M1=−1,30 p.p. | AME M2=−1,07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