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decomposições do gap e aprendizado de máquina interpretável.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(UPA); a decomposição de Oaxaca-Blinder atribui 83,8% do gap a diferenças de dotações (sobretudo de ocupação) e 16,2% à parcela não explicada, enquanto a penalidade recai de forma agravada sobre a mulher negra (penalidade interseccional de +9,5 p.p.).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decomposição de Oaxaca-Blinder; interseccionalidade.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barreiras na conversão de credenciais em ocupações qualificadas (Pager, 2007).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quatro métodos complementares — modelos lineares hierárquicos (HLM), decomposição de Oaxaca-Blinder, regressão quantílica com RIF e modelos logísticos multiníveis (GLMM) —, validados por aprendizado de máquina com valores SHAP.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distinguindo a parcela de composição da parcela de discriminação e traduzindo o diagnóstico em implicações de política focadas no acesso a ocupações qualificadas.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A robustez dos achados foi avaliada por E-values (VanderWeele; Ding, 2017).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2001; 200 árvores, profundidade máxima 10, mínimo de 50 observações por folha) e XGBoost (Chen; Guestrin, 2016; 300 iterações, profundidade máxima 6, taxa de aprendizado 0,05, subamostragem de 80% das linhas e colunas por árvore, regularização L1=0,1 e L2=1,0) foram ajustados para prever o rendimento, com validação por partição hold-out treino/teste (80/20, estratificação implícita por amostragem aleatória, semente fixa) — o desempenho reportado (R²=0,6167 para XGBoost e R²=0,5735 para Random Forest) refere-se ao conjunto de TESTE, não a ajuste in-sample; a diferença frente ao R² de treino (gap de overfitting ≤0,0006) é desprezível para ambos os modelos. Como validação adicional além do hold-out único, uma validação cruzada de 5 folds (subamostra de 20%, por custo computacional) confirma a estabilidade: R²=0,6164±0,0009 para XGBoost e R²=0,5746±0,0010 para Random Forest, variação desprezível entre folds. Frente a um baseline OLS simples ajustado na mesma partição (R²=0,5708), o ganho real do ML é modesto para o Random Forest (ΔR²=0,0027) e mais expressivo para o XGBoost (ΔR²=0,0459) — a maior parte da variância explicada de log-renda já é capturada pela forma funcional linear da equação de Mincer estendida; o XGBoost captura não-linearidades e interações adicionais, mas de magnitude limitada. A interpretação usou valores SHAP (Lundberg; Lee, 2017), quantificando a contribuição de cada variável e suas interações de forma não-paramétrica — uma camada de triangulação e robustez frente aos modelos econométricos, não um substituto causal para eles.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Sensibilidade e interseccionalidade</w:t>
      </w:r>
    </w:p>
    <w:p>
      <w:pPr>
        <w:ind w:firstLine="709"/>
        <w:jc w:val="both"/>
      </w:pPr>
      <w:r>
        <w:t>A robustez do resíduo racial foi avaliada por E-values (VanderWeele; Ding, 2017), que quantificam quanto um confundidor não-observado precisaria pesar para anular o efeito. A decomposição interseccional (raça × gênero) formaliza a penalidade específica da combinação dos eixos (Crenshaw, 1989), distinguindo-a da soma dos efeitos isolados.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interseccionalidade — com forte mediação do território, que persiste mesmo quando se controla a escolaridade. As subseções a seguir percorrem esse sistema: partem da falha da explicação meritocrática e isolam as três camadas que a substituem.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−4,78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1. GLMM logístico (M2, população completa) — teto de vidro de acesso. OR &lt; 1 = menor chance de acesso para negros vs. brancos de mesmo perfil; IC 95% de Wald via broom.mixed (lme4::glmer); AME em pontos percentuais; E-value ≥ 2 indica robustez a confundidor não observado.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Desfecho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 (negro)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AME (p.p.)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E-value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Cargo qualificado (CBO 1–4)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0,705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[0,702; 0,708]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2,19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20% de renda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0,691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[0,688; 0,694]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2,25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10% de renda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[0,651; 0,660]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2,42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Desenho amostral complexo. A Tabela 1 usa erro-padrão robusto a heterocedasticidade (HC1), que não incorpora o peso amostral (V1028) nem o agrupamento por UPA (conglomerado) da PNAD Contínua — a ausência desse ajuste pode inflar artificialmente a precisão reportada. Uma checagem de robustez reajusta o modelo de acesso a cargo qualificado com (i) erro-padrão cluster-robusto por UPA e (ii) peso amostral V1028 combinado ao cluster: o erro-padrão sobe de 0,0023 (HC1) para 0,0061 (cluster) e 0,0091 (cluster + peso) — quase 4,0× maior que o HC1 atual —, enquanto o odds ratio se mantém na mesma direção e magnitude (OR=0,693 ponderado vs. 0,705 HC1). O achado central (discriminação no acesso) é robusto ao desenho amostral; a precisão reportada na Tabela 1, sem esse ajuste, é de fato otimista.</w:t>
      </w: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ind w:firstLine="709"/>
        <w:jc w:val="both"/>
      </w:pPr>
      <w:r>
        <w:t>Um indicador distribucional reforça o teto de vidro. O Gini da renda do trabalho é MAIOR entre brancos (0,485) do que entre negros (0,449) — em todos os anos da série. Isso não é equidade entre negros: é CONFINAMENTO AO PISO (renda homogeneamente baixa), o reverso distribucional da barreira de acesso ao topo. Quem é barrado do topo achata-se na base. Cabe a ressalva de que este Gini refere-se ao rendimento do TRABALHO entre ocupados — conceito distinto do Gini domiciliar per capita do IBGE (Figura 2c).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ra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2c. Gini intra-raça (renda do trabalho, ponderado): brancos têm maior desigualdade interna; negros, comprimidos no piso — o reverso do teto de vidro, não equidade.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em parte, pelo LUGAR. No modelo hierárquico, mais da metade do gap salarial é mediada pelo contexto de moradia (UPA) — um achado robusto de mediação. A raça opera, em medida relevante, ATRAVÉS do território: a segregação residencial histórica converte-se em segregação de renda atual. Ressalva metodológica: a renda média da UPA é preditor parcialmente endógeno do rendimento individual (problema do reflexo, Manski 1993), pois agrega o próprio indivíduo; por isso a interpretamos como evidência de mediação territorial, e não como 'determinante' causal isolado.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 de teste=0,6167): o contexto territorial (renda média da UPA) está entre os preditores de maior peso, sinalizando o eixo territorial da desigualdade — interpretado como mediação, não como determinante causal isolado.</w:t>
      </w:r>
    </w:p>
    <w:p>
      <w:pPr>
        <w:ind w:firstLine="709"/>
        <w:jc w:val="both"/>
      </w:pPr>
      <w:r>
        <w:t>Estabilidade da hierarquia SHAP. A concordância entre os dois modelos de árvore é alta: correlação de Spearman entre os rankings completos de importância de ρ=0,829, com 10/10 variáveis coincidentes no top-10 de ambos os modelos — a hierarquia de importância territorial e ocupacional (Figura 3) não é artefato de um único algoritmo. Ressalva de transparência: a variável 'raça (negro)', embora sempre com sinal negativo (penalidade), tem posição instável entre os modelos (rank 25 no Random Forest vs. rank 11 no XGBoost) — isso não compromete a conclusão qualitativa (efeito racial direto residual mesmo após os controles), mas indica que a MAGNITUDE relativa desse efeito frente às demais variáveis, isoladamente pelo SHAP, é sensível à escolha do algoritmo, reforçando por que o efeito racial é estimado primariamente pelos modelos econométricos (HLM, Oaxaca-Blinder, GLMM) e não pelo ML. Um bootstrap (B=200 reamostragens) da importância |SHAP| média do XGBoost mostra que essa estimativa é, em si, precisa — |SHAP|=0,0295 para 'raça (negro)', IC 95% [0,0294; 0,0295] — a instabilidade relatada acima é entre algoritmos (RF vs. XGBoost), não uma imprecisão amostral dentro de cada um.</w:t>
      </w:r>
    </w:p>
    <w:p>
      <w:pPr>
        <w:ind w:firstLine="709"/>
        <w:jc w:val="both"/>
      </w:pPr>
      <w:r>
        <w:t>Esse eixo territorial encontra corroboração externa no Índice de Progresso Social (IPS) municipal (Imazon e parceiros, 2026): as regiões de menor progresso social (Norte e Nordeste) coincidem com as de maior penalidade racial em nossos modelos. Ressalva metodológica: a integração fina com o proxy de bairro (UPA) é inviável — a PNAD não divulga o município e o IPS é municipal, mais agregado que a UPA —, de modo que o IPS entra como evidência convergente do caráter territorial, não como fonte de dados integrada.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2. Decomposição do gap por mediação (HLM de três níveis, PNAD Contínua 2016–2025). Cada modelo acrescenta controles ao anterior; o gap encolhe de −19,1% (M1) para −6,2% (M4), com 69,8% mediado por contexto de moradia e ocupação.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Modelo (controles acumulados)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β negro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(%)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Mediação acum. (%)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M1 (individual)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−0,2123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−19,1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M2 (+ contexto UPA)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M3 (+ UF)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M4 (+ ocupação)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−0,0641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−6,2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69,8</w:t>
            </w:r>
          </w:p>
        </w:tc>
      </w:tr>
    </w:tbl>
    <w:p>
      <w:pPr>
        <w:spacing w:after="160"/>
      </w:pP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3. Decomposição de Oaxaca-Blinder (especificação de acesso, com ocupação e contexto como dotações; população completa). Dotações + Coeficiente = 100% do gap. Ressalva (Oaxaca &amp; Ransom, 1999): incluir ocupação como dotação subestima a discriminação — daí a complementaridade com o GLMM de acesso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do Gap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Dotação (composição: capital humano e ocupação)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83,8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Coeficiente (não explicado / discriminação)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16,2</w:t>
            </w:r>
          </w:p>
        </w:tc>
      </w:tr>
    </w:tbl>
    <w:p>
      <w:pPr>
        <w:spacing w:after="160"/>
      </w:pP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 penalidade interseccional</w:t>
      </w:r>
    </w:p>
    <w:p>
      <w:pPr>
        <w:ind w:firstLine="709"/>
        <w:jc w:val="both"/>
      </w:pPr>
      <w:r>
        <w:t>As duas primeiras camadas — acesso e território — combinam-se de forma agravada na interseção de raça e gênero. A decomposição interseccional mostra que a Mulher Negra acumula a maior desvantagem (gap de 96,4% vs. o Homem Branco) e, além disso, uma penalidade EXTRA de 9,5 pontos percentuais que não se reduz à soma das penalidades de raça e de gênero isoladas — a marca da interseccionalidade (Crenshaw, 1989). As camadas reforçam-se mutuamente: a barreira de acesso e o eixo territorial pesam de modo desigual sobre os diferentes grupos.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4. Decomposição interseccional (raça × gênero) do gap vs. o Homem Branco. Dotações + Retornos = 100% do gap. A Mulher Negra acumula o maior gap (96,4%) e uma penalidade extra de 9,5 p.p. não redutível à soma dos eixos de raça e gênero (Crenshaw, 1989).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Grupo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vs HB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Dotações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Retornos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Penal. extra (p.p.)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Branca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46,6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Homem Negro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40,3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Negra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96,4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9,5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Incerteza da penalidade interseccional. A penalidade extra da Tabela 4 é uma decomposição não-linear (diferença entre três ajustes OLS por subgrupo), sem erro-padrão analítico direto. Um bootstrap cluster por UPA (B=200 reamostragens, preservando a estrutura de conglomerado da PNAD) estima a penalidade em 9,5 p.p., IC 95% [8,4; 10,7] — o intervalo não inclui zero, confirmando com incerteza estatística explícita que a penalidade interseccional da mulher negra é distinta da soma dos efeitos isolados de raça e gênero. Como evidência complementar, o modelo HLM interseccional com interação tripla explícita (log-renda contínua, controlando educação superior) estima o termo raça×gênero×superior em β=−0,0434 (EP=0,0053; IC 95% [−0,0538; −0,0330]), na mesma direção.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Decomposição interseccional (raça × gênero): gap de renda vs. o Homem Branco; a Mulher Negra acumula as duas penalidades, com um resíduo interseccional próprio.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Especificação da decomposição de Oaxaca-Blinder. A repartição entre composição e discriminação depende de quais controles se tratam como dotações. Adota-se a especificação de acesso (ocupação e contexto como dotações; 83,8% de composição), coerente com a leitura de que a discriminação age sobretudo no acesso às ocupações — medido diretamente pelo GLMM. Como alerta Oaxaca e Ransom (1999), tratar a ocupação como dotação tende a subestimar a discriminação total, já que a segregação ocupacional é, ela própria, discriminatória; daí a complementaridade entre os métodos. Uma análise de sensibilidade explícita dimensiona esse intervalo: removendo ocupação e contexto de UPA das dotações (especificação Mincer pura), a parcela não explicada sobe de 16,2% para 75,2% do gap — ou seja, o intervalo de discriminação total, a depender de quanto da segregação ocupacional é tratada como mérito (dotação) ou como resultado de discriminação prévia (retorno), vai de 16,2% a 75,2%. As duas leituras não são contraditórias: a especificação de acesso isola a discriminação SALARIAL residual dentro da mesma ocupação (sticky floor, via RIF), enquanto a especificação sem ocupação captura também a discriminação que já opera na TRIAGEM ocupacional, quantificada diretamente pelo GLMM de acesso (Tabela 1).</w:t>
      </w:r>
    </w:p>
    <w:p>
      <w:pPr>
        <w:ind w:firstLine="709"/>
        <w:jc w:val="both"/>
      </w:pPr>
      <w:r>
        <w:t>Desenho amostral no Oaxaca-Blinder. Na mesma linha da Tabela 1, a decomposição de Oaxaca-Blinder acima não pondera por V1028 nem trata o agrupamento por UPA. Reajustando com WLS ponderado por V1028 e erro-padrão cluster-robusto por UPA, a parcela atribuída a retornos (discriminação) sobe de 16,2% (não ponderado, EP=0,0104) para 18,3% (ponderado, EP=0,0133) — na mesma direção da robustez do GLMM: o desenho amostral desloca ligeiramente as estimativas para cima e amplia o erro-padrão, sem reverter a conclusão substantiva.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interseccionalidade — com forte mediação do TERRITÓRIO (o contexto de moradia responde por mais da metade do gap). O gap é majoritariamente composição (Oaxaca: 83,8%), mas a composição é produto da discriminação no acesso às ocupações (GLMM: OR≈0,705) e convive com discriminação salarial residual, maior na base da distribuição (sticky floor). A consequência prescritiva é direta: políticas unidimensionais são insuficientes; a intervenção deve ser multidimensional e centrada no acesso a ocupações qualificadas.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CRENSHAW, K. Demarginalizing the intersection of race and sex. University of Chicago Legal Forum, v. 1989, n. 1, p. 139-167, 1989.</w:t>
      </w:r>
    </w:p>
    <w:p>
      <w:pPr>
        <w:spacing w:after="120" w:line="240" w:lineRule="auto"/>
        <w:jc w:val="both"/>
      </w:pPr>
      <w:r>
        <w:rPr>
          <w:sz w:val="22"/>
        </w:rPr>
        <w:t>FIRPO, S.; FORTIN, N. M.; LEMIEUX, T. Decomposing wage distributions using recentered influence function regressions. Econometrics, v. 6, n. 2, p. 28, 2018.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L.; RANSOM, M. R. Identification in detailed wage decompositions. Review of Economics and Statistics, v. 81, n. 1, p. 154-157, 1999.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VANDERWEELE, T. J.; DING, P. Sensitivity analysis in observational research: introducing the E-value. Annals of Internal Medicine, v. 167, n. 4, p. 268-274, 2017.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