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3.png" ContentType="image/png"/>
  <Override PartName="/word/media/rId59.png" ContentType="image/png"/>
  <Override PartName="/word/media/rId66.png" ContentType="image/png"/>
  <Override PartName="/word/media/rId80.png" ContentType="image/png"/>
  <Override PartName="/word/media/rId33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(15,9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36,9% da variância do log-rendimento está</w:t>
      </w:r>
      <w:r>
        <w:t xml:space="preserve"> </w:t>
      </w:r>
      <w:r>
        <w:t xml:space="preserve">entre bairros e estima que profissionais negros recebem, em média, 19,1% a menos</w:t>
      </w:r>
      <w:r>
        <w:t xml:space="preserve"> </w:t>
      </w:r>
      <w:r>
        <w:t xml:space="preserve">que brancos comparáveis em escolaridade, sexo e idade. Desse diferencial, 47,0%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inferior da discriminação</w:t>
      </w:r>
      <w:r>
        <w:t xml:space="preserve"> </w:t>
      </w:r>
      <w:r>
        <w:t xml:space="preserve">direta — a 10,2%.</w:t>
      </w:r>
    </w:p>
    <w:p>
      <w:pPr>
        <w:pStyle w:val="BodyText"/>
      </w:pPr>
      <w:r>
        <w:t xml:space="preserve">A decomposição de Oaxaca–Blinder atribui 28,4%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16,2%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(35,1% no q10) e decresce rumo ao topo (12,9% no q90). A discriminação opera,</w:t>
      </w:r>
      <w:r>
        <w:t xml:space="preserve"> </w:t>
      </w:r>
      <w:r>
        <w:t xml:space="preserve">portanto,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0,699</w:t>
      </w:r>
      <w:r>
        <w:t xml:space="preserve"> </w:t>
      </w:r>
      <w:r>
        <w:t xml:space="preserve">(IC 95% 0,696–0,702) das de brancos do mesmo bairro, que se apertam para</w:t>
      </w:r>
      <w:r>
        <w:t xml:space="preserve"> </w:t>
      </w:r>
      <w:r>
        <w:t xml:space="preserve">0,654 no topo 10% da renda; o E-value de 2,2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36.9%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19.1% less than comparable White workers after controlling for education,</w:t>
      </w:r>
      <w:r>
        <w:t xml:space="preserve"> </w:t>
      </w:r>
      <w:r>
        <w:t xml:space="preserve">sex, and age. Of this differential, 47.0%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10.2%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28.4%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16.2%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(35,1% at q10) and declines toward the top (12,9% at q90). Discrimination</w:t>
      </w:r>
      <w:r>
        <w:t xml:space="preserve"> </w:t>
      </w:r>
      <w:r>
        <w:t xml:space="preserve">thus operates mainly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0.699</w:t>
      </w:r>
      <w:r>
        <w:t xml:space="preserve"> </w:t>
      </w:r>
      <w:r>
        <w:t xml:space="preserve">(95% CI 0.696–0.702) relative to White workers from the same neighbourhood,</w:t>
      </w:r>
      <w:r>
        <w:t xml:space="preserve"> </w:t>
      </w:r>
      <w:r>
        <w:t xml:space="preserve">tightening to 0.654 in the top 10% of income; an E-value of</w:t>
      </w:r>
      <w:r>
        <w:t xml:space="preserve"> </w:t>
      </w:r>
      <w:r>
        <w:t xml:space="preserve">2.2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19,1%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cai quase pela metade: 47,0% do gap</w:t>
      </w:r>
      <w:r>
        <w:t xml:space="preserve"> </w:t>
      </w:r>
      <w:r>
        <w:t xml:space="preserve">transita pela segregação residencial. O que resta — 10,2%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30% menor; no décimo</w:t>
      </w:r>
      <w:r>
        <w:t xml:space="preserve"> </w:t>
      </w:r>
      <w:r>
        <w:t xml:space="preserve">superior da renda, 35%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7,7 milhões de observações em 40.969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12.990/2014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apenas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1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apenas capital humano e contexto de bairro, comparável à literatura; e</w:t>
      </w:r>
      <w:r>
        <w:t xml:space="preserve"> </w:t>
      </w:r>
      <w:r>
        <w:t xml:space="preserve">(B) acrescentando horas, formalidade e grupo ocupacional como dotações.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cinco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entre os quantis extremos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40.969 UPAs a cada</w:t>
      </w:r>
      <w:r>
        <w:t xml:space="preserve"> </w:t>
      </w:r>
      <w:r>
        <w:t xml:space="preserve">réplica seria proibitivo com 7,7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29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29"/>
    <w:bookmarkStart w:id="30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30"/>
    <w:bookmarkEnd w:id="31"/>
    <w:bookmarkStart w:id="8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2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10,2% (M3) e de 7,0%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2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38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rPr>
          <w:i/>
          <w:iCs/>
        </w:rPr>
        <w:t xml:space="preserve">Esta seção documenta como o território amplifica o gap racial:</w:t>
      </w:r>
      <w:r>
        <w:rPr>
          <w:i/>
          <w:iCs/>
        </w:rPr>
        <w:t xml:space="preserve"> </w:t>
      </w:r>
      <w:r>
        <w:rPr>
          <w:i/>
          <w:iCs/>
        </w:rP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[−0,1087;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0,144 e os</w:t>
      </w:r>
      <w:r>
        <w:t xml:space="preserve"> </w:t>
      </w:r>
      <w:r>
        <w:t xml:space="preserve">controles explicam 78,9%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rPr>
          <w:i/>
          <w:iCs/>
        </w:rP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38.657,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</w:t>
      </w:r>
    </w:p>
    <w:bookmarkStart w:id="36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36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7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4,5538 (0,0116)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0,4237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0,6815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8.838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1.627.001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bookmarkEnd w:id="38"/>
    <w:bookmarkStart w:id="51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rPr>
          <w:i/>
          <w:iCs/>
        </w:rPr>
        <w:t xml:space="preserve">hold-out</w:t>
      </w:r>
      <w:r>
        <w:t xml:space="preserve"> </w:t>
      </w:r>
      <w:r>
        <w:t xml:space="preserve">20%).</w:t>
      </w:r>
    </w:p>
    <w:bookmarkStart w:id="39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9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40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rPr>
          <w:i/>
          <w:iCs/>
        </w:rP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rPr>
          <w:i/>
          <w:iCs/>
        </w:rP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rPr>
          <w:i/>
          <w:iCs/>
        </w:rPr>
        <w:t xml:space="preserve">reduz</w:t>
      </w:r>
      <w:r>
        <w:t xml:space="preserve"> </w:t>
      </w:r>
      <w:r>
        <w:t xml:space="preserve">— não aumenta — o risco de sobreajuste.</w:t>
      </w:r>
    </w:p>
    <w:bookmarkStart w:id="42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42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46" w:name="fig:shap"/>
    <w:p>
      <w:pPr>
        <w:pStyle w:val="CaptionedFigure"/>
      </w:pPr>
      <w:r>
        <w:drawing>
          <wp:inline>
            <wp:extent cx="5334000" cy="419824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8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46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</w:t>
      </w:r>
    </w:p>
    <w:bookmarkStart w:id="50" w:name="fig:shap_wf"/>
    <w:p>
      <w:pPr>
        <w:pStyle w:val="CaptionedFigure"/>
      </w:pPr>
      <w:r>
        <w:drawing>
          <wp:inline>
            <wp:extent cx="3307080" cy="30014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0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50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51"/>
    <w:bookmarkStart w:id="57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5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5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bookmarkStart w:id="56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56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2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62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62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6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65"/>
    <w:bookmarkStart w:id="69" w:name="fig:qr_rif"/>
    <w:p>
      <w:pPr>
        <w:pStyle w:val="CaptionedFigure"/>
      </w:pPr>
      <w:r>
        <w:drawing>
          <wp:inline>
            <wp:extent cx="5227320" cy="200558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0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69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13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74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74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76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76"/>
    <w:bookmarkEnd w:id="77"/>
    <w:bookmarkStart w:id="84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78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rPr>
          <w:i/>
          <w:iCs/>
        </w:rP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 A Tabela </w:t>
      </w:r>
      <w:hyperlink w:anchor="tab:intersecciona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, as razões de chance nos três desfechos.</w:t>
      </w:r>
    </w:p>
    <w:bookmarkStart w:id="83" w:name="fig:interseccional"/>
    <w:p>
      <w:pPr>
        <w:pStyle w:val="CaptionedFigure"/>
      </w:pPr>
      <w:r>
        <w:drawing>
          <wp:inline>
            <wp:extent cx="4373880" cy="289225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rPr>
          <w:i/>
          <w:iCs/>
        </w:rP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rPr>
          <w:i/>
          <w:iCs/>
        </w:rPr>
        <w:t xml:space="preserve">mais excluída</w:t>
      </w:r>
      <w:r>
        <w:t xml:space="preserve"> </w:t>
      </w:r>
      <w:r>
        <w:t xml:space="preserve">no topo da renda.</w:t>
      </w:r>
    </w:p>
    <w:bookmarkEnd w:id="83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rPr>
          <w:i/>
          <w:iCs/>
        </w:rP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84"/>
    <w:bookmarkStart w:id="8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rPr>
          <w:i/>
          <w:iCs/>
        </w:rP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85"/>
    <w:bookmarkEnd w:id="86"/>
    <w:bookmarkStart w:id="87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rPr>
          <w:i/>
          <w:iCs/>
        </w:rP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rPr>
          <w:i/>
          <w:iCs/>
        </w:rP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rPr>
          <w:i/>
          <w:iCs/>
        </w:rP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rPr>
          <w:i/>
          <w:iCs/>
        </w:rP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rPr>
          <w:i/>
          <w:iCs/>
        </w:rP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7"/>
    <w:bookmarkStart w:id="121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cerca de 30% menos chance de ocupar um cargo qualificado e 35% menos</w:t>
      </w:r>
      <w:r>
        <w:t xml:space="preserve"> </w:t>
      </w:r>
      <w:r>
        <w:t xml:space="preserve">chance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de convergência observado na última década reforça a urgência.</w:t>
      </w:r>
      <w:r>
        <w:t xml:space="preserve"> </w:t>
      </w:r>
      <w:r>
        <w:t xml:space="preserve">Ao passo atual, a eliminação do diferencial racial levaria mais de um século.</w:t>
      </w:r>
      <w:r>
        <w:t xml:space="preserve"> </w:t>
      </w:r>
      <w:r>
        <w:t xml:space="preserve">Não é uma previsão, e sim uma extrapolação aritmética da combinação entre a</w:t>
      </w:r>
      <w:r>
        <w:t xml:space="preserve"> </w:t>
      </w:r>
      <w:r>
        <w:t xml:space="preserve">magnitude do gap e a velocidade atual de redução — velocidade que, aliás, não</w:t>
      </w:r>
      <w:r>
        <w:t xml:space="preserve"> </w:t>
      </w:r>
      <w:r>
        <w:t xml:space="preserve">se distingue de zero aos níveis convencionais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): a leitura</w:t>
      </w:r>
      <w:r>
        <w:t xml:space="preserve"> </w:t>
      </w:r>
      <w:r>
        <w:t xml:space="preserve">conservadora é que a década não produziu convergência mensurável.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</w:t>
      </w:r>
      <w:r>
        <w:rPr>
          <w:i/>
          <w:iCs/>
        </w:rPr>
        <w:t xml:space="preserve"> </w:t>
      </w:r>
      <w:r>
        <w:rPr>
          <w:i/>
          <w:iCs/>
        </w:rPr>
        <w:t xml:space="preserve">10,2% a menos que um branco — e a barreira mais dura não é o salário, é a porta:</w:t>
      </w:r>
      <w:r>
        <w:rPr>
          <w:i/>
          <w:iCs/>
        </w:rPr>
        <w:t xml:space="preserve"> </w:t>
      </w:r>
      <w:r>
        <w:rPr>
          <w:i/>
          <w:iCs/>
        </w:rPr>
        <w:t xml:space="preserve">30% menos chance de chegar a um cargo qualificado. O mercado de trabalho</w:t>
      </w:r>
      <w:r>
        <w:rPr>
          <w:i/>
          <w:iCs/>
        </w:rPr>
        <w:t xml:space="preserve"> </w:t>
      </w:r>
      <w:r>
        <w:rPr>
          <w:i/>
          <w:iCs/>
        </w:rPr>
        <w:t xml:space="preserve">brasileiro não é racialmente neutro, e educação sozinha não corrige isso.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19,1% (sem efeito de bairro),</w:t>
      </w:r>
      <w:r>
        <w:t xml:space="preserve"> </w:t>
      </w:r>
      <w:r>
        <w:t xml:space="preserve">decompõe-se em três parcelas: (i) mediação de 47,0%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16,6% pelo acesso desigual a grupos CBO de alta</w:t>
      </w:r>
      <w:r>
        <w:t xml:space="preserve"> </w:t>
      </w:r>
      <w:r>
        <w:t xml:space="preserve">remuneração; e (iii) penalidade de 7,0%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688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20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rPr>
          <w:i/>
          <w:iCs/>
        </w:rP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19" w:name="refs"/>
    <w:bookmarkStart w:id="88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88"/>
    <w:bookmarkStart w:id="89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89"/>
    <w:bookmarkStart w:id="90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90"/>
    <w:bookmarkStart w:id="91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91"/>
    <w:bookmarkStart w:id="92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92"/>
    <w:bookmarkStart w:id="93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93"/>
    <w:bookmarkStart w:id="94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94"/>
    <w:bookmarkStart w:id="95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95"/>
    <w:bookmarkStart w:id="96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96"/>
    <w:bookmarkStart w:id="97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97"/>
    <w:bookmarkStart w:id="98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98"/>
    <w:bookmarkStart w:id="99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99"/>
    <w:bookmarkStart w:id="100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00"/>
    <w:bookmarkStart w:id="101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01"/>
    <w:bookmarkStart w:id="102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02"/>
    <w:bookmarkStart w:id="103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03"/>
    <w:bookmarkStart w:id="104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04"/>
    <w:bookmarkStart w:id="105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05"/>
    <w:bookmarkStart w:id="106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06"/>
    <w:bookmarkStart w:id="107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07"/>
    <w:bookmarkStart w:id="108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08"/>
    <w:bookmarkStart w:id="109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09"/>
    <w:bookmarkStart w:id="110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10"/>
    <w:bookmarkStart w:id="111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11"/>
    <w:bookmarkStart w:id="112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12"/>
    <w:bookmarkStart w:id="113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13"/>
    <w:bookmarkStart w:id="114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14"/>
    <w:bookmarkStart w:id="115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15"/>
    <w:bookmarkStart w:id="116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16"/>
    <w:bookmarkStart w:id="117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17"/>
    <w:bookmarkStart w:id="118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2026-09-23T21:22:27Z</dcterms:created>
  <dcterms:modified xsi:type="dcterms:W3CDTF">2026-09-23T21:22:27Z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