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Bairro, porta e topo: o racismo estrutural no mercado de trabalho</w:t>
      </w:r>
      <w:r>
        <w:rPr>
          <w:rFonts w:ascii="Arial" w:hAnsi="Arial"/>
          <w:b/>
          <w:bCs/>
          <w:sz w:val="22"/>
        </w:rPr>
        <w:t xml:space="preserve"> </w:t>
      </w:r>
      <w:r>
        <w:rPr>
          <w:rFonts w:ascii="Arial" w:hAnsi="Arial"/>
          <w:b/>
          <w:bCs/>
          <w:sz w:val="22"/>
        </w:rPr>
        <w:t xml:space="preserve">brasileiro</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p>
    <w:p>
      <w:pPr>
        <w:pStyle w:val="BodyText"/>
        <w:spacing w:line="240" w:lineRule="auto" w:after="280"/>
        <w:ind w:firstLine="0" w:left="0"/>
        <w:jc w:val="center"/>
      </w:pPr>
      <w:r>
        <w:br w:type="page"/>
        <w:rPr>
          <w:rFonts w:ascii="Arial" w:hAnsi="Arial"/>
          <w:b/>
          <w:bCs/>
          <w:sz w:val="22"/>
        </w:rPr>
        <w:t xml:space="preserve">Bairro, porta e topo: o racismo estrutural no mercado de trabalho</w:t>
      </w:r>
      <w:r>
        <w:rPr>
          <w:rFonts w:ascii="Arial" w:hAnsi="Arial"/>
          <w:b/>
          <w:bCs/>
          <w:sz w:val="22"/>
        </w:rPr>
        <w:t xml:space="preserve"> </w:t>
      </w:r>
      <w:r>
        <w:rPr>
          <w:rFonts w:ascii="Arial" w:hAnsi="Arial"/>
          <w:b/>
          <w:bCs/>
          <w:sz w:val="22"/>
        </w:rPr>
        <w:t xml:space="preserve">brasileiro</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A desigualdade racial operou em duas frentes que responderam de modo diferente à escolaridade: a penalidade salarial foi maior entre os menos escolarizados e pequena entre os pós-graduados, enquanto a desvantagem no acesso a cargos qualificados persistiu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diferencial racial de rendimentos;</w:t>
      </w:r>
      <w:r>
        <w:rPr>
          <w:rFonts w:ascii="Arial" w:hAnsi="Arial"/>
          <w:sz w:val="22"/>
        </w:rPr>
        <w:t xml:space="preserve"> </w:t>
      </w:r>
      <w:r>
        <w:rPr>
          <w:rFonts w:ascii="Arial" w:hAnsi="Arial"/>
          <w:sz w:val="22"/>
        </w:rPr>
        <w:t>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Neighbourhood, door and top: structural racism in the Brazilian</w:t>
      </w:r>
      <w:r>
        <w:rPr>
          <w:rFonts w:ascii="Arial" w:hAnsi="Arial"/>
          <w:b/>
          <w:bCs/>
          <w:sz w:val="22"/>
        </w:rPr>
        <w:t xml:space="preserve"> </w:t>
      </w:r>
      <w:r>
        <w:rPr>
          <w:rFonts w:ascii="Arial" w:hAnsi="Arial"/>
          <w:b/>
          <w:bCs/>
          <w:sz w:val="22"/>
        </w:rPr>
        <w:t xml:space="preserve">labour market</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Racial inequality operated on two fronts that responded differently to schooling: the wage penalty was largest among the least educated and small among postgraduates, while the disadvantage in access to qualified jobs persisted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racial earnings gap; residential segregation; glass</w:t>
      </w:r>
      <w:r>
        <w:rPr>
          <w:rFonts w:ascii="Arial" w:hAnsi="Arial"/>
          <w:sz w:val="22"/>
        </w:rPr>
        <w:t xml:space="preserve"> </w:t>
      </w:r>
      <w:r>
        <w:rPr>
          <w:rFonts w:ascii="Arial" w:hAnsi="Arial"/>
          <w:sz w:val="22"/>
        </w:rPr>
        <w:t>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A</w:t>
      </w:r>
      <w:r>
        <w:rPr>
          <w:rFonts w:ascii="Arial" w:hAnsi="Arial"/>
          <w:sz w:val="22"/>
        </w:rPr>
        <w:t xml:space="preserve"> </w:t>
      </w:r>
      <w:r>
        <w:rPr>
          <w:rFonts w:ascii="Arial" w:hAnsi="Arial"/>
          <w:sz w:val="22"/>
        </w:rPr>
        <w:t>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ele é desvio moral de pessoas; na institucional, está nas regras e práticas das</w:t>
      </w:r>
      <w:r>
        <w:rPr>
          <w:rFonts w:ascii="Arial" w:hAnsi="Arial"/>
          <w:sz w:val="22"/>
        </w:rPr>
        <w:t xml:space="preserve"> </w:t>
      </w:r>
      <w:r>
        <w:rPr>
          <w:rFonts w:ascii="Arial" w:hAnsi="Arial"/>
          <w:sz w:val="22"/>
        </w:rPr>
        <w:t>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de igualadas as características individuais; a sua mediação por estruturas — o</w:t>
      </w:r>
      <w:r>
        <w:rPr>
          <w:rFonts w:ascii="Arial" w:hAnsi="Arial"/>
          <w:sz w:val="22"/>
        </w:rPr>
        <w:t xml:space="preserve"> </w:t>
      </w:r>
      <w:r>
        <w:rPr>
          <w:rFonts w:ascii="Arial" w:hAnsi="Arial"/>
          <w:sz w:val="22"/>
        </w:rPr>
        <w:t>bairro de moradia e a porta das ocupações; e a sua acumulação onde se decide a</w:t>
      </w:r>
      <w:r>
        <w:rPr>
          <w:rFonts w:ascii="Arial" w:hAnsi="Arial"/>
          <w:sz w:val="22"/>
        </w:rPr>
        <w:t xml:space="preserve"> </w:t>
      </w:r>
      <w:r>
        <w:rPr>
          <w:rFonts w:ascii="Arial" w:hAnsi="Arial"/>
          <w:sz w:val="22"/>
        </w:rPr>
        <w:t>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(Marques, 2010; Wilson, 1987; Sampson et al., 1997)</w:t>
      </w:r>
      <w:r>
        <w:rPr>
          <w:rFonts w:ascii="Arial" w:hAnsi="Arial"/>
          <w:sz w:val="22"/>
        </w:rPr>
        <w:t>;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mediada pelo bairro de moradia (H1); que a penalidade se agrava no topo da</w:t>
      </w:r>
      <w:r>
        <w:rPr>
          <w:rFonts w:ascii="Arial" w:hAnsi="Arial"/>
          <w:sz w:val="22"/>
        </w:rPr>
        <w:t xml:space="preserve"> </w:t>
      </w:r>
      <w:r>
        <w:rPr>
          <w:rFonts w:ascii="Arial" w:hAnsi="Arial"/>
          <w:sz w:val="22"/>
        </w:rPr>
        <w:t>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e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Fonte: Dados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em módulo indicam desequilíbrio relevante. População completa da PEA com renda</w:t>
      </w:r>
      <w:r>
        <w:rPr>
          <w:rFonts w:ascii="Arial" w:hAnsi="Arial"/>
          <w:sz w:val="22"/>
        </w:rPr>
        <w:t xml:space="preserve"> </w:t>
      </w:r>
      <w:r>
        <w:rPr>
          <w:rFonts w:ascii="Arial" w:hAnsi="Arial"/>
          <w:sz w:val="22"/>
        </w:rPr>
        <w:t>positiva (</w:t>
      </w:r>
      <m:oMath>
        <m:r>
          <m:t>N</m:t>
        </m:r>
        <m:r>
          <m:rPr>
            <m:sty m:val="p"/>
          </m:rPr>
          <m:t>=</m:t>
        </m:r>
        <m:r>
          <m:t>7.699</m:t>
        </m:r>
        <m:r>
          <m:t>.278</m:t>
        </m:r>
      </m:oMath>
      <w:r>
        <w:rPr>
          <w:rFonts w:ascii="Arial" w:hAnsi="Arial"/>
          <w:sz w:val="22"/>
        </w:rPr>
        <w:t>; 3.271.443 brancos e 4.427.835 negros)</w:t>
      </w:r>
      <w:r>
        <w:rPr>
          <w:rFonts w:ascii="Arial" w:hAnsi="Arial"/>
          <w:sz w:val="22"/>
        </w:rPr>
        <w:t xml:space="preserve">. </w:t>
      </w:r>
      <w:r>
        <w:rPr>
          <w:rFonts w:ascii="Arial" w:hAnsi="Arial"/>
          <w:sz w:val="22"/>
        </w:rPr>
        <w:t>Suporte comum:</w:t>
      </w:r>
      <w:r>
        <w:rPr>
          <w:rFonts w:ascii="Arial" w:hAnsi="Arial"/>
          <w:sz w:val="22"/>
        </w:rPr>
        <w:t xml:space="preserve"> </w:t>
      </w:r>
      <w:r>
        <w:rPr>
          <w:rFonts w:ascii="Arial" w:hAnsi="Arial"/>
          <w:sz w:val="22"/>
        </w:rPr>
        <w:t>97,2% das UPAs têm</w:t>
      </w:r>
      <w:r>
        <w:rPr>
          <w:rFonts w:ascii="Arial" w:hAnsi="Arial"/>
          <w:sz w:val="22"/>
        </w:rPr>
        <w:t xml:space="preserve"> </w:t>
      </w:r>
      <w:r>
        <w:rPr>
          <w:rFonts w:ascii="Arial" w:hAnsi="Arial"/>
          <w:sz w:val="22"/>
        </w:rPr>
        <w:t>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estão em células com os dois grupos) — a comparação não depende de extrapolar para</w:t>
      </w:r>
      <w:r>
        <w:rPr>
          <w:rFonts w:ascii="Arial" w:hAnsi="Arial"/>
          <w:sz w:val="22"/>
        </w:rPr>
        <w:t xml:space="preserve"> </w:t>
      </w:r>
      <w:r>
        <w:rPr>
          <w:rFonts w:ascii="Arial" w:hAnsi="Arial"/>
          <w:sz w:val="22"/>
        </w:rPr>
        <w:t>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e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 dado pelas eq. (1) e (2):</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 eq. (1):</w:t>
      </w:r>
    </w:p>
    <w:p>
      <w:pPr>
        <w:pStyle w:val="BodyText"/>
        <w:ind w:firstLine="0"/>
        <w:jc w:val="right"/>
      </w:p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sSub>
          <m:e>
            <m:r>
              <m:t>X</m:t>
            </m:r>
          </m:e>
          <m:sub>
            <m:r>
              <m:t>i</m:t>
            </m:r>
            <m:r>
              <m:t>j</m:t>
            </m:r>
          </m:sub>
        </m:sSub>
        <m:r>
          <m:rPr>
            <m:sty m:val="p"/>
          </m:rPr>
          <m:t>+</m:t>
        </m:r>
        <m:sSub>
          <m:e>
            <m:r>
              <m:t>β</m:t>
            </m:r>
          </m:e>
          <m:sub>
            <m:r>
              <m:t>4</m:t>
            </m:r>
          </m:sub>
        </m:sSub>
        <m:sSubSup>
          <m:e>
            <m:r>
              <m:t>X</m:t>
            </m:r>
          </m:e>
          <m:sub>
            <m:r>
              <m:t>i</m:t>
            </m:r>
            <m:r>
              <m:t>j</m:t>
            </m:r>
          </m:sub>
          <m:sup>
            <m:r>
              <m:t>2</m:t>
            </m:r>
          </m:sup>
        </m:sSubSup>
        <m:r>
          <m:rPr>
            <m:sty m:val="p"/>
          </m:rPr>
          <m:t>+</m:t>
        </m:r>
        <m:sSubSup>
          <m:e>
            <m:r>
              <m:rPr>
                <m:sty m:val="bi"/>
              </m:rPr>
              <m:t>β</m:t>
            </m:r>
          </m:e>
          <m:sub>
            <m:r>
              <m:t>E</m:t>
            </m:r>
          </m:sub>
          <m:sup>
            <m:r>
              <m:rPr>
                <m:sty m:val="p"/>
              </m:rPr>
              <m:t>′</m:t>
            </m:r>
          </m:sup>
        </m:sSubSup>
        <m:sSub>
          <m:e>
            <m:r>
              <m:rPr>
                <m:sty m:val="bi"/>
              </m:rPr>
              <m:t>E</m:t>
            </m:r>
          </m:e>
          <m:sub>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
        </m:r>
      </m:oMath>
      <w:r>
        <w:rPr>
          <w:rFonts w:ascii="Arial" w:hAnsi="Arial"/>
        </w:rPr>
        <w:t xml:space="preserve">   (1)</w:t>
      </w:r>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E</m:t>
        </m:r>
      </m:oMath>
      <w:r>
        <w:rPr>
          <w:rFonts w:ascii="Arial" w:hAnsi="Arial"/>
          <w:sz w:val="22"/>
        </w:rPr>
        <w:t xml:space="preserve"> </w:t>
      </w:r>
      <w:r>
        <w:rPr>
          <w:rFonts w:ascii="Arial" w:hAnsi="Arial"/>
          <w:sz w:val="22"/>
        </w:rPr>
        <w:t xml:space="preserve">reúne as variáveis indicadoras cumulativas de escolaridade,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 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 eq. (2):</w:t>
      </w:r>
    </w:p>
    <w:p>
      <w:pPr>
        <w:pStyle w:val="BodyText"/>
        <w:ind w:firstLine="0"/>
        <w:jc w:val="right"/>
      </w:p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
        </m:r>
      </m:oMath>
      <w:r>
        <w:rPr>
          <w:rFonts w:ascii="Arial" w:hAnsi="Arial"/>
        </w:rPr>
        <w:t xml:space="preserve">   (2)</w:t>
      </w:r>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e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e Bryk (2002)</w:t>
      </w:r>
      <w:r>
        <w:rPr>
          <w:rFonts w:ascii="Arial" w:hAnsi="Arial"/>
          <w:sz w:val="22"/>
        </w:rPr>
        <w:t xml:space="preserve">, os modelos</w:t>
      </w:r>
      <w:r>
        <w:rPr>
          <w:rFonts w:ascii="Arial" w:hAnsi="Arial"/>
          <w:sz w:val="22"/>
        </w:rPr>
        <w:t xml:space="preserve"> </w:t>
      </w:r>
      <w:r>
        <w:rPr>
          <w:rFonts w:ascii="Arial" w:hAnsi="Arial"/>
          <w:sz w:val="22"/>
        </w:rPr>
        <w:t>são estimados em degraus aninhados: M0 (nulo: só o intercepto aleatório, que dá o ICC);</w:t>
      </w:r>
      <w:r>
        <w:rPr>
          <w:rFonts w:ascii="Arial" w:hAnsi="Arial"/>
          <w:sz w:val="22"/>
        </w:rPr>
        <w:t xml:space="preserve"> </w:t>
      </w:r>
      <w:r>
        <w:rPr>
          <w:rFonts w:ascii="Arial" w:hAnsi="Arial"/>
          <w:sz w:val="22"/>
        </w:rPr>
        <w:t>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estimados por máxima verossimilhança [ML], necessária para comparar efeitos fixos entre</w:t>
      </w:r>
      <w:r>
        <w:rPr>
          <w:rFonts w:ascii="Arial" w:hAnsi="Arial"/>
          <w:sz w:val="22"/>
        </w:rPr>
        <w:t xml:space="preserve"> </w:t>
      </w:r>
      <w:r>
        <w:rPr>
          <w:rFonts w:ascii="Arial" w:hAnsi="Arial"/>
          <w:sz w:val="22"/>
        </w:rPr>
        <w:t>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Blinder (1973)</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 conforme a eq. (3):</w:t>
      </w:r>
    </w:p>
    <w:p>
      <w:pPr>
        <w:pStyle w:val="BodyText"/>
        <w:ind w:firstLine="0"/>
        <w:jc w:val="right"/>
      </w:pP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r>
          <m:t>  </m:t>
        </m:r>
        <m:r>
          <m:rPr>
            <m:nor/>
            <m:sty m:val="p"/>
          </m:rPr>
          <m:t/>
        </m:r>
      </m:oMath>
      <w:r>
        <w:rPr>
          <w:rFonts w:ascii="Arial" w:hAnsi="Arial"/>
        </w:rPr>
        <w:t xml:space="preserve">   (3)</w:t>
      </w:r>
    </w:p>
    <w:p>
      <w:pPr>
        <w:pStyle w:val="FirstParagraph"/>
        <w:spacing w:line="360" w:lineRule="auto" w:after="0"/>
        <w:ind w:firstLine="709"/>
        <w:jc w:val="both"/>
      </w:pPr>
      <w:r>
        <w:rPr>
          <w:rFonts w:ascii="Arial" w:hAnsi="Arial"/>
          <w:sz w:val="22"/>
        </w:rPr>
        <w:t xml:space="preserve">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e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et al.,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e Bryk, 2002)</w:t>
      </w:r>
      <w:r>
        <w:rPr>
          <w:rFonts w:ascii="Arial" w:hAnsi="Arial"/>
          <w:sz w:val="22"/>
        </w:rPr>
        <w:t>,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e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e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e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e Pischke, 2009)</w:t>
      </w:r>
      <w:r>
        <w:rPr>
          <w:rFonts w:ascii="Arial" w:hAnsi="Arial"/>
          <w:sz w:val="22"/>
        </w:rPr>
        <w:t>;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e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Heterocedasticidade (Breusch–Pagan)</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vAlign w:val="top"/>
          </w:tcPr>
          <w:p>
            <w:pPr>
              <w:pStyle w:val="Compact"/>
              <w:keepNext/>
              <w:spacing w:line="240" w:lineRule="auto" w:after="80"/>
              <w:ind w:firstLine="0"/>
              <w:jc w:val="left"/>
            </w:pPr>
            <w:r>
              <w:rPr>
                <w:rFonts w:ascii="Arial" w:hAnsi="Arial"/>
                <w:b w:val="0"/>
                <w:sz w:val="22"/>
              </w:rPr>
              <w:t xml:space="preserve">erro-padrão agrupado por UPA e bootstrap em blocos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Forma funcional (RESET)</w:t>
            </w:r>
          </w:p>
        </w:tc>
        <w:tc>
          <w:tcPr>
            <w:tcW w:type="dxa" w:w="2821"/>
            <w:vAlign w:val="top"/>
          </w:tcPr>
          <w:p>
            <w:pPr>
              <w:pStyle w:val="Compact"/>
              <w:keepNext/>
              <w:spacing w:line="240" w:lineRule="auto" w:after="8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vAlign w:val="top"/>
          </w:tcPr>
          <w:p>
            <w:pPr>
              <w:pStyle w:val="Compact"/>
              <w:keepNext/>
              <w:spacing w:line="240" w:lineRule="auto" w:after="80"/>
              <w:ind w:firstLine="0"/>
              <w:jc w:val="left"/>
            </w:pPr>
            <w:r>
              <w:rPr>
                <w:rFonts w:ascii="Arial" w:hAnsi="Arial"/>
                <w:b w:val="0"/>
                <w:sz w:val="22"/>
              </w:rPr>
              <w:t xml:space="preserve">rejeição sem relevância prática; forma mantida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Multicolinearidade (VIF)</w:t>
            </w:r>
          </w:p>
        </w:tc>
        <w:tc>
          <w:tcPr>
            <w:tcW w:type="dxa" w:w="2821"/>
            <w:vAlign w:val="top"/>
          </w:tcPr>
          <w:p>
            <w:pPr>
              <w:pStyle w:val="Compact"/>
              <w:keepNext/>
              <w:spacing w:line="240" w:lineRule="auto" w:after="8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vAlign w:val="top"/>
          </w:tcPr>
          <w:p>
            <w:pPr>
              <w:pStyle w:val="Compact"/>
              <w:keepNext/>
              <w:spacing w:line="240" w:lineRule="auto" w:after="80"/>
              <w:ind w:firstLine="0"/>
              <w:jc w:val="left"/>
            </w:pPr>
            <w:r>
              <w:rPr>
                <w:rFonts w:ascii="Arial" w:hAnsi="Arial"/>
                <w:b w:val="0"/>
                <w:sz w:val="22"/>
              </w:rPr>
              <w:t xml:space="preserve">sem colinearidade relevante; o coeficiente de interesse não é afetado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Estrutura multinível (teste de razão de verossimilhança)</w:t>
            </w:r>
          </w:p>
        </w:tc>
        <w:tc>
          <w:tcPr>
            <w:tcW w:type="dxa" w:w="2821"/>
            <w:vAlign w:val="top"/>
          </w:tcPr>
          <w:p>
            <w:pPr>
              <w:pStyle w:val="Compact"/>
              <w:keepNext/>
              <w:spacing w:line="240" w:lineRule="auto" w:after="8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vAlign w:val="top"/>
          </w:tcPr>
          <w:p>
            <w:pPr>
              <w:pStyle w:val="Compact"/>
              <w:keepNext/>
              <w:spacing w:line="240" w:lineRule="auto" w:after="80"/>
              <w:ind w:firstLine="0"/>
              <w:jc w:val="left"/>
            </w:pPr>
            <w:r>
              <w:rPr>
                <w:rFonts w:ascii="Arial" w:hAnsi="Arial"/>
                <w:b w:val="0"/>
                <w:sz w:val="22"/>
              </w:rPr>
              <w:t xml:space="preserve">nível de bairro justificado (limiar de 5%)</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Método de estimação (ML vs. REML)</w:t>
            </w:r>
          </w:p>
        </w:tc>
        <w:tc>
          <w:tcPr>
            <w:tcW w:type="dxa" w:w="2821"/>
            <w:vAlign w:val="top"/>
          </w:tcPr>
          <w:p>
            <w:pPr>
              <w:pStyle w:val="Compact"/>
              <w:keepNext/>
              <w:spacing w:line="240" w:lineRule="auto" w:after="8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vAlign w:val="top"/>
          </w:tcPr>
          <w:p>
            <w:pPr>
              <w:pStyle w:val="Compact"/>
              <w:keepNext/>
              <w:spacing w:line="240" w:lineRule="auto" w:after="8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(Konfound/ITCV)</w:t>
            </w:r>
          </w:p>
        </w:tc>
        <w:tc>
          <w:tcPr>
            <w:tcW w:type="dxa" w:w="2821"/>
            <w:vAlign w:val="top"/>
          </w:tcPr>
          <w:p>
            <w:pPr>
              <w:pStyle w:val="Compact"/>
              <w:keepNext/>
              <w:spacing w:line="240" w:lineRule="auto" w:after="8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vAlign w:val="top"/>
          </w:tcPr>
          <w:p>
            <w:pPr>
              <w:pStyle w:val="Compact"/>
              <w:keepNext/>
              <w:spacing w:line="240" w:lineRule="auto" w:after="80"/>
              <w:ind w:firstLine="0"/>
              <w:jc w:val="left"/>
            </w:pPr>
            <w:r>
              <w:rPr>
                <w:rFonts w:ascii="Arial" w:hAnsi="Arial"/>
                <w:b w:val="0"/>
                <w:sz w:val="22"/>
              </w:rPr>
              <w:t xml:space="preserve">achado robusto a confundimento plausível</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(E-value)</w:t>
            </w:r>
          </w:p>
        </w:tc>
        <w:tc>
          <w:tcPr>
            <w:tcW w:type="dxa" w:w="2821"/>
            <w:vAlign w:val="top"/>
          </w:tcPr>
          <w:p>
            <w:pPr>
              <w:pStyle w:val="Compact"/>
              <w:keepNext/>
              <w:spacing w:line="240" w:lineRule="auto" w:after="8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vAlign w:val="top"/>
          </w:tcPr>
          <w:p>
            <w:pPr>
              <w:pStyle w:val="Compact"/>
              <w:keepNext/>
              <w:spacing w:line="240" w:lineRule="auto" w:after="80"/>
              <w:ind w:firstLine="0"/>
              <w:jc w:val="left"/>
            </w:pPr>
            <w:r>
              <w:rPr>
                <w:rFonts w:ascii="Arial" w:hAnsi="Arial"/>
                <w:b w:val="0"/>
                <w:sz w:val="22"/>
              </w:rPr>
              <w:t xml:space="preserve">um confundidor precisaria dessa força com raça e desfecho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Sobreajuste (treino vs. teste)</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vAlign w:val="top"/>
          </w:tcPr>
          <w:p>
            <w:pPr>
              <w:pStyle w:val="Compact"/>
              <w:keepNext/>
              <w:spacing w:line="240" w:lineRule="auto" w:after="8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Ganho do ML sobre o linear</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vAlign w:val="top"/>
          </w:tcPr>
          <w:p>
            <w:pPr>
              <w:pStyle w:val="Compact"/>
              <w:keepNext/>
              <w:spacing w:line="240" w:lineRule="auto" w:after="8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Peso amostral (V1028) no acesso, no topo e na decomposição</w:t>
            </w:r>
          </w:p>
        </w:tc>
        <w:tc>
          <w:tcPr>
            <w:tcW w:type="dxa" w:w="2821"/>
            <w:vAlign w:val="top"/>
          </w:tcPr>
          <w:p>
            <w:pPr>
              <w:pStyle w:val="Compact"/>
              <w:keepNext/>
              <w:spacing w:line="240" w:lineRule="auto" w:after="8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vAlign w:val="top"/>
          </w:tcPr>
          <w:p>
            <w:pPr>
              <w:pStyle w:val="Compact"/>
              <w:keepNext/>
              <w:spacing w:line="240" w:lineRule="auto" w:after="80"/>
              <w:ind w:firstLine="0"/>
              <w:jc w:val="left"/>
            </w:pPr>
            <w:r>
              <w:rPr>
                <w:rFonts w:ascii="Arial" w:hAnsi="Arial"/>
                <w:b w:val="0"/>
                <w:sz w:val="22"/>
              </w:rPr>
              <w:t xml:space="preserve">logit com efeito fixo de estado e erro agrupado por UPA; conclusão inalterada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vAlign w:val="top"/>
          </w:tcPr>
          <w:p>
            <w:pPr>
              <w:pStyle w:val="Compact"/>
              <w:keepNext/>
              <w:spacing w:line="240" w:lineRule="auto" w:after="80"/>
              <w:ind w:firstLine="0"/>
              <w:jc w:val="left"/>
            </w:pPr>
            <w:r>
              <w:rPr>
                <w:rFonts w:ascii="Arial" w:hAnsi="Arial"/>
                <w:b w:val="0"/>
                <w:sz w:val="22"/>
              </w:rPr>
              <w:t xml:space="preserve">hiperparâmetros escolhidos em partição de validação e confirmados por CV</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Balanceamento e suporte comum</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vAlign w:val="top"/>
          </w:tcPr>
          <w:p>
            <w:pPr>
              <w:pStyle w:val="Compact"/>
              <w:keepNext/>
              <w:spacing w:line="240" w:lineRule="auto" w:after="80"/>
              <w:ind w:firstLine="0"/>
              <w:jc w:val="left"/>
            </w:pPr>
            <w:r>
              <w:rPr>
                <w:rFonts w:ascii="Arial" w:hAnsi="Arial"/>
                <w:b w:val="0"/>
                <w:sz w:val="22"/>
              </w:rPr>
              <w:t xml:space="preserve">desequilíbrio concentrado no contexto de bairro, absorvido pelo nível 2</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Especificação do nível de estado</w:t>
            </w:r>
          </w:p>
        </w:tc>
        <w:tc>
          <w:tcPr>
            <w:tcW w:type="dxa" w:w="2821"/>
            <w:vAlign w:val="top"/>
          </w:tcPr>
          <w:p>
            <w:pPr>
              <w:pStyle w:val="Compact"/>
              <w:keepNext/>
              <w:spacing w:line="240" w:lineRule="auto" w:after="8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vAlign w:val="top"/>
          </w:tcPr>
          <w:p>
            <w:pPr>
              <w:pStyle w:val="Compact"/>
              <w:keepNext/>
              <w:spacing w:line="240" w:lineRule="auto" w:after="80"/>
              <w:ind w:firstLine="0"/>
              <w:jc w:val="left"/>
            </w:pPr>
            <w:r>
              <w:rPr>
                <w:rFonts w:ascii="Arial" w:hAnsi="Arial"/>
                <w:b w:val="0"/>
                <w:sz w:val="22"/>
              </w:rPr>
              <w:t xml:space="preserve">igual ao da UF como efeito fixo; resultado não depende da escolha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Vazamento das médias de contexto</w:t>
            </w:r>
          </w:p>
        </w:tc>
        <w:tc>
          <w:tcPr>
            <w:tcW w:type="dxa" w:w="2821"/>
            <w:vAlign w:val="top"/>
          </w:tcPr>
          <w:p>
            <w:pPr>
              <w:pStyle w:val="Compact"/>
              <w:keepNext/>
              <w:spacing w:line="240" w:lineRule="auto" w:after="80"/>
              <w:ind w:firstLine="0"/>
              <w:jc w:val="left"/>
            </w:pPr>
            <w:r>
              <w:rPr>
                <w:rFonts w:ascii="Arial" w:hAnsi="Arial"/>
                <w:b w:val="0"/>
                <w:sz w:val="22"/>
              </w:rPr>
              <w:t xml:space="preserve">médias do bairro e do estado calculadas sem a própria observação</w:t>
            </w:r>
          </w:p>
        </w:tc>
        <w:tc>
          <w:tcPr>
            <w:tcW w:type="dxa" w:w="3570"/>
            <w:vAlign w:val="top"/>
          </w:tcPr>
          <w:p>
            <w:pPr>
              <w:pStyle w:val="Compact"/>
              <w:keepNext/>
              <w:spacing w:line="240" w:lineRule="auto" w:after="8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erro-padrão agrupado por UPA em todos os modelos</w:t>
            </w:r>
          </w:p>
        </w:tc>
      </w:tr>
    </w:tbl>
    <w:bookmarkEnd w:id="30"/>
    <w:p>
      <w:pPr>
        <w:pStyle w:val="BodyText"/>
        <w:keepNext/>
        <w:spacing w:line="240" w:lineRule="auto" w:before="40" w:after="0"/>
        <w:ind w:firstLine="0"/>
        <w:jc w:val="both"/>
      </w:pPr>
      <w:r>
        <w:rPr>
          <w:rFonts w:ascii="Arial" w:hAnsi="Arial"/>
          <w:sz w:val="22"/>
        </w:rPr>
        <w:t>Fonte: Dados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Cada linha traz o que foi</w:t>
      </w:r>
      <w:r>
        <w:rPr>
          <w:rFonts w:ascii="Arial" w:hAnsi="Arial"/>
          <w:sz w:val="22"/>
        </w:rPr>
        <w:t xml:space="preserve"> </w:t>
      </w:r>
      <w:r>
        <w:rPr>
          <w:rFonts w:ascii="Arial" w:hAnsi="Arial"/>
          <w:sz w:val="22"/>
        </w:rPr>
        <w:t xml:space="preserve">verificado, o resultado e a providência tomada</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e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e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7"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2"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3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bookmarkStart w:id="35" w:name="tab:hlm_resultados"/>
    <w:p>
      <w:pPr>
        <w:pStyle w:val="TableCaption"/>
        <w:keepNext/>
        <w:keepLines/>
        <w:spacing w:line="240" w:lineRule="auto" w:before="240" w:after="40"/>
        <w:ind w:firstLine="0"/>
        <w:jc w:val="both"/>
      </w:pPr>
      <w:r>
        <w:rPr>
          <w:rFonts w:ascii="Arial" w:hAnsi="Arial"/>
          <w:sz w:val="22"/>
        </w:rPr>
        <w:t xml:space="preserve">Tabela 3. HLM de dois níveis (indivíduo em UPA) com efeitos fixos de UF</w:t>
      </w:r>
    </w:p>
    <w:tbl>
      <w:tblPr>
        <w:tblStyle w:val="Table"/>
        <w:tblW w:type="auto" w:w="0"/>
        <w:tblLayout w:type="fixed"/>
        <w:tblLook w:firstRow="1" w:lastRow="0" w:firstColumn="0" w:lastColumn="0" w:noHBand="0" w:noVBand="0" w:val="0020"/>
        <w:tblCaption w:val="Tabela 3.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e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Intercepto</w:t>
            </w:r>
          </w:p>
        </w:tc>
        <w:tc>
          <w:tcPr>
            <w:tcW w:type="dxa" w:w="1415"/>
            <w:vAlign w:val="top"/>
          </w:tcPr>
          <w:p>
            <w:pPr>
              <w:pStyle w:val="Compact"/>
              <w:spacing w:line="240" w:lineRule="auto" w:after="80"/>
              <w:ind w:firstLine="0"/>
              <w:jc w:val="right"/>
            </w:pPr>
            <w:r>
              <w:rPr>
                <w:rFonts w:ascii="Arial" w:hAnsi="Arial"/>
                <w:b w:val="0"/>
                <w:sz w:val="20"/>
              </w:rPr>
              <w:t xml:space="preserve">7,5778 (0,0028)</w:t>
            </w:r>
          </w:p>
        </w:tc>
        <w:tc>
          <w:tcPr>
            <w:tcW w:type="dxa" w:w="1437"/>
            <w:vAlign w:val="top"/>
          </w:tcPr>
          <w:p>
            <w:pPr>
              <w:pStyle w:val="Compact"/>
              <w:spacing w:line="240" w:lineRule="auto" w:after="80"/>
              <w:ind w:firstLine="0"/>
              <w:jc w:val="right"/>
            </w:pPr>
            <w:r>
              <w:rPr>
                <w:rFonts w:ascii="Arial" w:hAnsi="Arial"/>
                <w:b w:val="0"/>
                <w:sz w:val="20"/>
              </w:rPr>
              <w:t xml:space="preserve">4,8436 (0,0039)</w:t>
            </w:r>
          </w:p>
        </w:tc>
        <w:tc>
          <w:tcPr>
            <w:tcW w:type="dxa" w:w="1437"/>
            <w:vAlign w:val="top"/>
          </w:tcPr>
          <w:p>
            <w:pPr>
              <w:pStyle w:val="Compact"/>
              <w:spacing w:line="240" w:lineRule="auto" w:after="80"/>
              <w:ind w:firstLine="0"/>
              <w:jc w:val="right"/>
            </w:pPr>
            <w:r>
              <w:rPr>
                <w:rFonts w:ascii="Arial" w:hAnsi="Arial"/>
                <w:b w:val="0"/>
                <w:sz w:val="20"/>
              </w:rPr>
              <w:t xml:space="preserve">5,0132 (0,0034)</w:t>
            </w:r>
          </w:p>
        </w:tc>
        <w:tc>
          <w:tcPr>
            <w:tcW w:type="dxa" w:w="1437"/>
            <w:vAlign w:val="top"/>
          </w:tcPr>
          <w:p>
            <w:pPr>
              <w:pStyle w:val="Compact"/>
              <w:spacing w:line="240" w:lineRule="auto" w:after="80"/>
              <w:ind w:firstLine="0"/>
              <w:jc w:val="right"/>
            </w:pPr>
            <w:r>
              <w:rPr>
                <w:rFonts w:ascii="Arial" w:hAnsi="Arial"/>
                <w:b w:val="0"/>
                <w:sz w:val="20"/>
              </w:rPr>
              <w:t xml:space="preserve">5,2269 (0,0078)</w:t>
            </w:r>
          </w:p>
        </w:tc>
        <w:tc>
          <w:tcPr>
            <w:tcW w:type="dxa" w:w="1450"/>
            <w:vAlign w:val="top"/>
          </w:tcPr>
          <w:p>
            <w:pPr>
              <w:pStyle w:val="Compact"/>
              <w:spacing w:line="240" w:lineRule="auto" w:after="80"/>
              <w:ind w:firstLine="0"/>
              <w:jc w:val="right"/>
            </w:pPr>
            <w:r>
              <w:rPr>
                <w:rFonts w:ascii="Arial" w:hAnsi="Arial"/>
                <w:b w:val="0"/>
                <w:sz w:val="20"/>
              </w:rPr>
              <w:t xml:space="preserve">5,4140 (0,0074)</w:t>
            </w:r>
          </w:p>
        </w:tc>
      </w:tr>
      <w:tr>
        <w:trPr>
          <w:cantSplit/>
        </w:trPr>
        <w:tc>
          <w:tcPr>
            <w:tcW w:type="dxa" w:w="1895"/>
            <w:vAlign w:val="top"/>
          </w:tcPr>
          <w:p>
            <w:pPr>
              <w:pStyle w:val="Compact"/>
              <w:spacing w:line="240" w:lineRule="auto" w:after="80"/>
              <w:ind w:firstLine="0"/>
              <w:jc w:val="left"/>
            </w:pPr>
            <w:r>
              <w:rPr>
                <w:rFonts w:ascii="Arial" w:hAnsi="Arial"/>
                <w:b w:val="0"/>
                <w:bCs/>
                <w:sz w:val="20"/>
              </w:rPr>
              <w:t xml:space="preserve">Raça (negro)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−0,0669 (0,0005)</w:t>
            </w:r>
          </w:p>
        </w:tc>
        <w:tc>
          <w:tcPr>
            <w:tcW w:type="dxa" w:w="1437"/>
            <w:vAlign w:val="top"/>
          </w:tcPr>
          <w:p>
            <w:pPr>
              <w:pStyle w:val="Compact"/>
              <w:spacing w:line="240" w:lineRule="auto" w:after="80"/>
              <w:ind w:firstLine="0"/>
              <w:jc w:val="right"/>
            </w:pPr>
            <w:r>
              <w:rPr>
                <w:rFonts w:ascii="Arial" w:hAnsi="Arial"/>
                <w:b w:val="0"/>
                <w:sz w:val="20"/>
              </w:rPr>
              <w:t xml:space="preserve">−0,0637 (0,0005)</w:t>
            </w:r>
          </w:p>
        </w:tc>
        <w:tc>
          <w:tcPr>
            <w:tcW w:type="dxa" w:w="1437"/>
            <w:vAlign w:val="top"/>
          </w:tcPr>
          <w:p>
            <w:pPr>
              <w:pStyle w:val="Compact"/>
              <w:spacing w:line="240" w:lineRule="auto" w:after="80"/>
              <w:ind w:firstLine="0"/>
              <w:jc w:val="right"/>
            </w:pPr>
            <w:r>
              <w:rPr>
                <w:rFonts w:ascii="Arial" w:hAnsi="Arial"/>
                <w:b w:val="0"/>
                <w:sz w:val="20"/>
              </w:rPr>
              <w:t xml:space="preserve">−0,0629 (0,0005)</w:t>
            </w:r>
          </w:p>
        </w:tc>
        <w:tc>
          <w:tcPr>
            <w:tcW w:type="dxa" w:w="1450"/>
            <w:vAlign w:val="top"/>
          </w:tcPr>
          <w:p>
            <w:pPr>
              <w:pStyle w:val="Compact"/>
              <w:spacing w:line="240" w:lineRule="auto" w:after="80"/>
              <w:ind w:firstLine="0"/>
              <w:jc w:val="right"/>
            </w:pPr>
            <w:r>
              <w:rPr>
                <w:rFonts w:ascii="Arial" w:hAnsi="Arial"/>
                <w:b w:val="0"/>
                <w:sz w:val="20"/>
              </w:rPr>
              <w:t xml:space="preserve">−0,0579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Sexo feminino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−0,2594 (0,0005)</w:t>
            </w:r>
          </w:p>
        </w:tc>
        <w:tc>
          <w:tcPr>
            <w:tcW w:type="dxa" w:w="1437"/>
            <w:vAlign w:val="top"/>
          </w:tcPr>
          <w:p>
            <w:pPr>
              <w:pStyle w:val="Compact"/>
              <w:spacing w:line="240" w:lineRule="auto" w:after="80"/>
              <w:ind w:firstLine="0"/>
              <w:jc w:val="right"/>
            </w:pPr>
            <w:r>
              <w:rPr>
                <w:rFonts w:ascii="Arial" w:hAnsi="Arial"/>
                <w:b w:val="0"/>
                <w:sz w:val="20"/>
              </w:rPr>
              <w:t xml:space="preserve">−0,2590 (0,0005)</w:t>
            </w:r>
          </w:p>
        </w:tc>
        <w:tc>
          <w:tcPr>
            <w:tcW w:type="dxa" w:w="1437"/>
            <w:vAlign w:val="top"/>
          </w:tcPr>
          <w:p>
            <w:pPr>
              <w:pStyle w:val="Compact"/>
              <w:spacing w:line="240" w:lineRule="auto" w:after="80"/>
              <w:ind w:firstLine="0"/>
              <w:jc w:val="right"/>
            </w:pPr>
            <w:r>
              <w:rPr>
                <w:rFonts w:ascii="Arial" w:hAnsi="Arial"/>
                <w:b w:val="0"/>
                <w:sz w:val="20"/>
              </w:rPr>
              <w:t xml:space="preserve">−0,2592 (0,0005)</w:t>
            </w:r>
          </w:p>
        </w:tc>
        <w:tc>
          <w:tcPr>
            <w:tcW w:type="dxa" w:w="1450"/>
            <w:vAlign w:val="top"/>
          </w:tcPr>
          <w:p>
            <w:pPr>
              <w:pStyle w:val="Compact"/>
              <w:spacing w:line="240" w:lineRule="auto" w:after="80"/>
              <w:ind w:firstLine="0"/>
              <w:jc w:val="right"/>
            </w:pPr>
            <w:r>
              <w:rPr>
                <w:rFonts w:ascii="Arial" w:hAnsi="Arial"/>
                <w:b w:val="0"/>
                <w:sz w:val="20"/>
              </w:rPr>
              <w:t xml:space="preserve">−0,2394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 (centrada)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0,0079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50"/>
            <w:vAlign w:val="top"/>
          </w:tcPr>
          <w:p>
            <w:pPr>
              <w:pStyle w:val="Compact"/>
              <w:spacing w:line="240" w:lineRule="auto" w:after="80"/>
              <w:ind w:firstLine="0"/>
              <w:jc w:val="right"/>
            </w:pPr>
            <w:r>
              <w:rPr>
                <w:rFonts w:ascii="Arial" w:hAnsi="Arial"/>
                <w:b w:val="0"/>
                <w:sz w:val="20"/>
              </w:rPr>
              <w:t xml:space="preserve">0,0088 (&lt;0,0001)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50"/>
            <w:vAlign w:val="top"/>
          </w:tcPr>
          <w:p>
            <w:pPr>
              <w:pStyle w:val="Compact"/>
              <w:spacing w:line="240" w:lineRule="auto" w:after="80"/>
              <w:ind w:firstLine="0"/>
              <w:jc w:val="right"/>
            </w:pPr>
            <w:r>
              <w:rPr>
                <w:rFonts w:ascii="Arial" w:hAnsi="Arial"/>
                <w:b w:val="0"/>
                <w:sz w:val="20"/>
              </w:rPr>
              <w:t xml:space="preserve">−0,0004 (&lt;0,0001)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fundamental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0,1884 (0,0007)</w:t>
            </w:r>
          </w:p>
        </w:tc>
        <w:tc>
          <w:tcPr>
            <w:tcW w:type="dxa" w:w="1437"/>
            <w:vAlign w:val="top"/>
          </w:tcPr>
          <w:p>
            <w:pPr>
              <w:pStyle w:val="Compact"/>
              <w:spacing w:line="240" w:lineRule="auto" w:after="80"/>
              <w:ind w:firstLine="0"/>
              <w:jc w:val="right"/>
            </w:pPr>
            <w:r>
              <w:rPr>
                <w:rFonts w:ascii="Arial" w:hAnsi="Arial"/>
                <w:b w:val="0"/>
                <w:sz w:val="20"/>
              </w:rPr>
              <w:t xml:space="preserve">0,1880 (0,0007)</w:t>
            </w:r>
          </w:p>
        </w:tc>
        <w:tc>
          <w:tcPr>
            <w:tcW w:type="dxa" w:w="1437"/>
            <w:vAlign w:val="top"/>
          </w:tcPr>
          <w:p>
            <w:pPr>
              <w:pStyle w:val="Compact"/>
              <w:spacing w:line="240" w:lineRule="auto" w:after="80"/>
              <w:ind w:firstLine="0"/>
              <w:jc w:val="right"/>
            </w:pPr>
            <w:r>
              <w:rPr>
                <w:rFonts w:ascii="Arial" w:hAnsi="Arial"/>
                <w:b w:val="0"/>
                <w:sz w:val="20"/>
              </w:rPr>
              <w:t xml:space="preserve">0,1877 (0,0007)</w:t>
            </w:r>
          </w:p>
        </w:tc>
        <w:tc>
          <w:tcPr>
            <w:tcW w:type="dxa" w:w="1450"/>
            <w:vAlign w:val="top"/>
          </w:tcPr>
          <w:p>
            <w:pPr>
              <w:pStyle w:val="Compact"/>
              <w:spacing w:line="240" w:lineRule="auto" w:after="80"/>
              <w:ind w:firstLine="0"/>
              <w:jc w:val="right"/>
            </w:pPr>
            <w:r>
              <w:rPr>
                <w:rFonts w:ascii="Arial" w:hAnsi="Arial"/>
                <w:b w:val="0"/>
                <w:sz w:val="20"/>
              </w:rPr>
              <w:t xml:space="preserve">0,1464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médio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0,1965 (0,0007)</w:t>
            </w:r>
          </w:p>
        </w:tc>
        <w:tc>
          <w:tcPr>
            <w:tcW w:type="dxa" w:w="1437"/>
            <w:vAlign w:val="top"/>
          </w:tcPr>
          <w:p>
            <w:pPr>
              <w:pStyle w:val="Compact"/>
              <w:spacing w:line="240" w:lineRule="auto" w:after="80"/>
              <w:ind w:firstLine="0"/>
              <w:jc w:val="right"/>
            </w:pPr>
            <w:r>
              <w:rPr>
                <w:rFonts w:ascii="Arial" w:hAnsi="Arial"/>
                <w:b w:val="0"/>
                <w:sz w:val="20"/>
              </w:rPr>
              <w:t xml:space="preserve">0,1956 (0,0007)</w:t>
            </w:r>
          </w:p>
        </w:tc>
        <w:tc>
          <w:tcPr>
            <w:tcW w:type="dxa" w:w="1437"/>
            <w:vAlign w:val="top"/>
          </w:tcPr>
          <w:p>
            <w:pPr>
              <w:pStyle w:val="Compact"/>
              <w:spacing w:line="240" w:lineRule="auto" w:after="80"/>
              <w:ind w:firstLine="0"/>
              <w:jc w:val="right"/>
            </w:pPr>
            <w:r>
              <w:rPr>
                <w:rFonts w:ascii="Arial" w:hAnsi="Arial"/>
                <w:b w:val="0"/>
                <w:sz w:val="20"/>
              </w:rPr>
              <w:t xml:space="preserve">0,1958 (0,0007)</w:t>
            </w:r>
          </w:p>
        </w:tc>
        <w:tc>
          <w:tcPr>
            <w:tcW w:type="dxa" w:w="1450"/>
            <w:vAlign w:val="top"/>
          </w:tcPr>
          <w:p>
            <w:pPr>
              <w:pStyle w:val="Compact"/>
              <w:spacing w:line="240" w:lineRule="auto" w:after="80"/>
              <w:ind w:firstLine="0"/>
              <w:jc w:val="right"/>
            </w:pPr>
            <w:r>
              <w:rPr>
                <w:rFonts w:ascii="Arial" w:hAnsi="Arial"/>
                <w:b w:val="0"/>
                <w:sz w:val="20"/>
              </w:rPr>
              <w:t xml:space="preserve">0,1013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superior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0,5133 (0,0007)</w:t>
            </w:r>
          </w:p>
        </w:tc>
        <w:tc>
          <w:tcPr>
            <w:tcW w:type="dxa" w:w="1437"/>
            <w:vAlign w:val="top"/>
          </w:tcPr>
          <w:p>
            <w:pPr>
              <w:pStyle w:val="Compact"/>
              <w:spacing w:line="240" w:lineRule="auto" w:after="80"/>
              <w:ind w:firstLine="0"/>
              <w:jc w:val="right"/>
            </w:pPr>
            <w:r>
              <w:rPr>
                <w:rFonts w:ascii="Arial" w:hAnsi="Arial"/>
                <w:b w:val="0"/>
                <w:sz w:val="20"/>
              </w:rPr>
              <w:t xml:space="preserve">0,5107 (0,0007)</w:t>
            </w:r>
          </w:p>
        </w:tc>
        <w:tc>
          <w:tcPr>
            <w:tcW w:type="dxa" w:w="1437"/>
            <w:vAlign w:val="top"/>
          </w:tcPr>
          <w:p>
            <w:pPr>
              <w:pStyle w:val="Compact"/>
              <w:spacing w:line="240" w:lineRule="auto" w:after="80"/>
              <w:ind w:firstLine="0"/>
              <w:jc w:val="right"/>
            </w:pPr>
            <w:r>
              <w:rPr>
                <w:rFonts w:ascii="Arial" w:hAnsi="Arial"/>
                <w:b w:val="0"/>
                <w:sz w:val="20"/>
              </w:rPr>
              <w:t xml:space="preserve">0,5112 (0,0007)</w:t>
            </w:r>
          </w:p>
        </w:tc>
        <w:tc>
          <w:tcPr>
            <w:tcW w:type="dxa" w:w="1450"/>
            <w:vAlign w:val="top"/>
          </w:tcPr>
          <w:p>
            <w:pPr>
              <w:pStyle w:val="Compact"/>
              <w:spacing w:line="240" w:lineRule="auto" w:after="80"/>
              <w:ind w:firstLine="0"/>
              <w:jc w:val="right"/>
            </w:pPr>
            <w:r>
              <w:rPr>
                <w:rFonts w:ascii="Arial" w:hAnsi="Arial"/>
                <w:b w:val="0"/>
                <w:sz w:val="20"/>
              </w:rPr>
              <w:t xml:space="preserve">0,2937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pós-graduação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0,3359 (0,0011)</w:t>
            </w:r>
          </w:p>
        </w:tc>
        <w:tc>
          <w:tcPr>
            <w:tcW w:type="dxa" w:w="1437"/>
            <w:vAlign w:val="top"/>
          </w:tcPr>
          <w:p>
            <w:pPr>
              <w:pStyle w:val="Compact"/>
              <w:spacing w:line="240" w:lineRule="auto" w:after="80"/>
              <w:ind w:firstLine="0"/>
              <w:jc w:val="right"/>
            </w:pPr>
            <w:r>
              <w:rPr>
                <w:rFonts w:ascii="Arial" w:hAnsi="Arial"/>
                <w:b w:val="0"/>
                <w:sz w:val="20"/>
              </w:rPr>
              <w:t xml:space="preserve">0,3341 (0,0011)</w:t>
            </w:r>
          </w:p>
        </w:tc>
        <w:tc>
          <w:tcPr>
            <w:tcW w:type="dxa" w:w="1437"/>
            <w:vAlign w:val="top"/>
          </w:tcPr>
          <w:p>
            <w:pPr>
              <w:pStyle w:val="Compact"/>
              <w:spacing w:line="240" w:lineRule="auto" w:after="80"/>
              <w:ind w:firstLine="0"/>
              <w:jc w:val="right"/>
            </w:pPr>
            <w:r>
              <w:rPr>
                <w:rFonts w:ascii="Arial" w:hAnsi="Arial"/>
                <w:b w:val="0"/>
                <w:sz w:val="20"/>
              </w:rPr>
              <w:t xml:space="preserve">0,3350 (0,0011)</w:t>
            </w:r>
          </w:p>
        </w:tc>
        <w:tc>
          <w:tcPr>
            <w:tcW w:type="dxa" w:w="1450"/>
            <w:vAlign w:val="top"/>
          </w:tcPr>
          <w:p>
            <w:pPr>
              <w:pStyle w:val="Compact"/>
              <w:spacing w:line="240" w:lineRule="auto" w:after="80"/>
              <w:ind w:firstLine="0"/>
              <w:jc w:val="right"/>
            </w:pPr>
            <w:r>
              <w:rPr>
                <w:rFonts w:ascii="Arial" w:hAnsi="Arial"/>
                <w:b w:val="0"/>
                <w:sz w:val="20"/>
              </w:rPr>
              <w:t xml:space="preserve">0,2445 (0,0011)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log(horas)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0,6536 (0,0006)</w:t>
            </w:r>
          </w:p>
        </w:tc>
        <w:tc>
          <w:tcPr>
            <w:tcW w:type="dxa" w:w="1437"/>
            <w:vAlign w:val="top"/>
          </w:tcPr>
          <w:p>
            <w:pPr>
              <w:pStyle w:val="Compact"/>
              <w:spacing w:line="240" w:lineRule="auto" w:after="80"/>
              <w:ind w:firstLine="0"/>
              <w:jc w:val="right"/>
            </w:pPr>
            <w:r>
              <w:rPr>
                <w:rFonts w:ascii="Arial" w:hAnsi="Arial"/>
                <w:b w:val="0"/>
                <w:sz w:val="20"/>
              </w:rPr>
              <w:t xml:space="preserve">0,6539 (0,0006)</w:t>
            </w:r>
          </w:p>
        </w:tc>
        <w:tc>
          <w:tcPr>
            <w:tcW w:type="dxa" w:w="1437"/>
            <w:vAlign w:val="top"/>
          </w:tcPr>
          <w:p>
            <w:pPr>
              <w:pStyle w:val="Compact"/>
              <w:spacing w:line="240" w:lineRule="auto" w:after="80"/>
              <w:ind w:firstLine="0"/>
              <w:jc w:val="right"/>
            </w:pPr>
            <w:r>
              <w:rPr>
                <w:rFonts w:ascii="Arial" w:hAnsi="Arial"/>
                <w:b w:val="0"/>
                <w:sz w:val="20"/>
              </w:rPr>
              <w:t xml:space="preserve">0,6534 (0,0006)</w:t>
            </w:r>
          </w:p>
        </w:tc>
        <w:tc>
          <w:tcPr>
            <w:tcW w:type="dxa" w:w="1450"/>
            <w:vAlign w:val="top"/>
          </w:tcPr>
          <w:p>
            <w:pPr>
              <w:pStyle w:val="Compact"/>
              <w:spacing w:line="240" w:lineRule="auto" w:after="80"/>
              <w:ind w:firstLine="0"/>
              <w:jc w:val="right"/>
            </w:pPr>
            <w:r>
              <w:rPr>
                <w:rFonts w:ascii="Arial" w:hAnsi="Arial"/>
                <w:b w:val="0"/>
                <w:sz w:val="20"/>
              </w:rPr>
              <w:t xml:space="preserve">0,5801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Urbano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0,3419 (0,0037)</w:t>
            </w:r>
          </w:p>
        </w:tc>
        <w:tc>
          <w:tcPr>
            <w:tcW w:type="dxa" w:w="1437"/>
            <w:vAlign w:val="top"/>
          </w:tcPr>
          <w:p>
            <w:pPr>
              <w:pStyle w:val="Compact"/>
              <w:spacing w:line="240" w:lineRule="auto" w:after="80"/>
              <w:ind w:firstLine="0"/>
              <w:jc w:val="right"/>
            </w:pPr>
            <w:r>
              <w:rPr>
                <w:rFonts w:ascii="Arial" w:hAnsi="Arial"/>
                <w:b w:val="0"/>
                <w:sz w:val="20"/>
              </w:rPr>
              <w:t xml:space="preserve">0,0927 (0,0032)</w:t>
            </w:r>
          </w:p>
        </w:tc>
        <w:tc>
          <w:tcPr>
            <w:tcW w:type="dxa" w:w="1437"/>
            <w:vAlign w:val="top"/>
          </w:tcPr>
          <w:p>
            <w:pPr>
              <w:pStyle w:val="Compact"/>
              <w:spacing w:line="240" w:lineRule="auto" w:after="80"/>
              <w:ind w:firstLine="0"/>
              <w:jc w:val="right"/>
            </w:pPr>
            <w:r>
              <w:rPr>
                <w:rFonts w:ascii="Arial" w:hAnsi="Arial"/>
                <w:b w:val="0"/>
                <w:sz w:val="20"/>
              </w:rPr>
              <w:t xml:space="preserve">0,0492 (0,0027)</w:t>
            </w:r>
          </w:p>
        </w:tc>
        <w:tc>
          <w:tcPr>
            <w:tcW w:type="dxa" w:w="1450"/>
            <w:vAlign w:val="top"/>
          </w:tcPr>
          <w:p>
            <w:pPr>
              <w:pStyle w:val="Compact"/>
              <w:spacing w:line="240" w:lineRule="auto" w:after="80"/>
              <w:ind w:firstLine="0"/>
              <w:jc w:val="right"/>
            </w:pPr>
            <w:r>
              <w:rPr>
                <w:rFonts w:ascii="Arial" w:hAnsi="Arial"/>
                <w:b w:val="0"/>
                <w:sz w:val="20"/>
              </w:rPr>
              <w:t xml:space="preserve">0,0071 (0,0025)</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−0,1272 (0,0013)</w:t>
            </w:r>
          </w:p>
        </w:tc>
        <w:tc>
          <w:tcPr>
            <w:tcW w:type="dxa" w:w="1437"/>
            <w:vAlign w:val="top"/>
          </w:tcPr>
          <w:p>
            <w:pPr>
              <w:pStyle w:val="Compact"/>
              <w:spacing w:line="240" w:lineRule="auto" w:after="80"/>
              <w:ind w:firstLine="0"/>
              <w:jc w:val="right"/>
            </w:pPr>
            <w:r>
              <w:rPr>
                <w:rFonts w:ascii="Arial" w:hAnsi="Arial"/>
                <w:b w:val="0"/>
                <w:sz w:val="20"/>
              </w:rPr>
              <w:t xml:space="preserve">−0,0528 (0,0018)</w:t>
            </w:r>
          </w:p>
        </w:tc>
        <w:tc>
          <w:tcPr>
            <w:tcW w:type="dxa" w:w="1450"/>
            <w:vAlign w:val="top"/>
          </w:tcPr>
          <w:p>
            <w:pPr>
              <w:pStyle w:val="Compact"/>
              <w:spacing w:line="240" w:lineRule="auto" w:after="80"/>
              <w:ind w:firstLine="0"/>
              <w:jc w:val="right"/>
            </w:pPr>
            <w:r>
              <w:rPr>
                <w:rFonts w:ascii="Arial" w:hAnsi="Arial"/>
                <w:b w:val="0"/>
                <w:sz w:val="20"/>
              </w:rPr>
              <w:t xml:space="preserve">−0,0576 (0,0017)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−0,0183 (0,0012)</w:t>
            </w:r>
          </w:p>
        </w:tc>
        <w:tc>
          <w:tcPr>
            <w:tcW w:type="dxa" w:w="1437"/>
            <w:vAlign w:val="top"/>
          </w:tcPr>
          <w:p>
            <w:pPr>
              <w:pStyle w:val="Compact"/>
              <w:spacing w:line="240" w:lineRule="auto" w:after="80"/>
              <w:ind w:firstLine="0"/>
              <w:jc w:val="right"/>
            </w:pPr>
            <w:r>
              <w:rPr>
                <w:rFonts w:ascii="Arial" w:hAnsi="Arial"/>
                <w:b w:val="0"/>
                <w:sz w:val="20"/>
              </w:rPr>
              <w:t xml:space="preserve">−0,0007 (0,0010)</w:t>
            </w:r>
          </w:p>
        </w:tc>
        <w:tc>
          <w:tcPr>
            <w:tcW w:type="dxa" w:w="1450"/>
            <w:vAlign w:val="top"/>
          </w:tcPr>
          <w:p>
            <w:pPr>
              <w:pStyle w:val="Compact"/>
              <w:spacing w:line="240" w:lineRule="auto" w:after="80"/>
              <w:ind w:firstLine="0"/>
              <w:jc w:val="right"/>
            </w:pPr>
            <w:r>
              <w:rPr>
                <w:rFonts w:ascii="Arial" w:hAnsi="Arial"/>
                <w:b w:val="0"/>
                <w:sz w:val="20"/>
              </w:rPr>
              <w:t xml:space="preserve">−0,0051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0,1577 (0,0014)</w:t>
            </w:r>
          </w:p>
        </w:tc>
        <w:tc>
          <w:tcPr>
            <w:tcW w:type="dxa" w:w="1437"/>
            <w:vAlign w:val="top"/>
          </w:tcPr>
          <w:p>
            <w:pPr>
              <w:pStyle w:val="Compact"/>
              <w:spacing w:line="240" w:lineRule="auto" w:after="80"/>
              <w:ind w:firstLine="0"/>
              <w:jc w:val="right"/>
            </w:pPr>
            <w:r>
              <w:rPr>
                <w:rFonts w:ascii="Arial" w:hAnsi="Arial"/>
                <w:b w:val="0"/>
                <w:sz w:val="20"/>
              </w:rPr>
              <w:t xml:space="preserve">0,1694 (0,0013)</w:t>
            </w:r>
          </w:p>
        </w:tc>
        <w:tc>
          <w:tcPr>
            <w:tcW w:type="dxa" w:w="1450"/>
            <w:vAlign w:val="top"/>
          </w:tcPr>
          <w:p>
            <w:pPr>
              <w:pStyle w:val="Compact"/>
              <w:spacing w:line="240" w:lineRule="auto" w:after="80"/>
              <w:ind w:firstLine="0"/>
              <w:jc w:val="right"/>
            </w:pPr>
            <w:r>
              <w:rPr>
                <w:rFonts w:ascii="Arial" w:hAnsi="Arial"/>
                <w:b w:val="0"/>
                <w:sz w:val="20"/>
              </w:rPr>
              <w:t xml:space="preserve">0,1427 (0,0012)</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Emprego formal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0,1585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Conta própria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−0,1658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Trab. doméstico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−0,1052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dirigente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0,6250 (0,0013)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profissional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0,5608 (0,0011)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técnico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0,4001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administrativo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0,1771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serviços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0,1517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agropecuária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0,0844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operário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0,1839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operador</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0,2152 (0,0009)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FFAA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0,7871 (0,0023)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[−0,0679; −0,0658]</w:t>
            </w:r>
          </w:p>
        </w:tc>
        <w:tc>
          <w:tcPr>
            <w:tcW w:type="dxa" w:w="1437"/>
            <w:vAlign w:val="top"/>
          </w:tcPr>
          <w:p>
            <w:pPr>
              <w:pStyle w:val="Compact"/>
              <w:spacing w:line="240" w:lineRule="auto" w:after="80"/>
              <w:ind w:firstLine="0"/>
              <w:jc w:val="left"/>
            </w:pPr>
            <w:r>
              <w:rPr>
                <w:rFonts w:ascii="Arial" w:hAnsi="Arial"/>
                <w:b w:val="0"/>
                <w:sz w:val="20"/>
              </w:rPr>
              <w:t xml:space="preserve">[−0,0647; −0,0627]</w:t>
            </w:r>
          </w:p>
        </w:tc>
        <w:tc>
          <w:tcPr>
            <w:tcW w:type="dxa" w:w="1437"/>
            <w:vAlign w:val="top"/>
          </w:tcPr>
          <w:p>
            <w:pPr>
              <w:pStyle w:val="Compact"/>
              <w:spacing w:line="240" w:lineRule="auto" w:after="80"/>
              <w:ind w:firstLine="0"/>
              <w:jc w:val="left"/>
            </w:pPr>
            <w:r>
              <w:rPr>
                <w:rFonts w:ascii="Arial" w:hAnsi="Arial"/>
                <w:b w:val="0"/>
                <w:sz w:val="20"/>
              </w:rPr>
              <w:t xml:space="preserve">[−0,0639; −0,0619]</w:t>
            </w:r>
          </w:p>
        </w:tc>
        <w:tc>
          <w:tcPr>
            <w:tcW w:type="dxa" w:w="1450"/>
            <w:vAlign w:val="top"/>
          </w:tcPr>
          <w:p>
            <w:pPr>
              <w:pStyle w:val="Compact"/>
              <w:spacing w:line="240" w:lineRule="auto" w:after="80"/>
              <w:ind w:firstLine="0"/>
              <w:jc w:val="left"/>
            </w:pPr>
            <w:r>
              <w:rPr>
                <w:rFonts w:ascii="Arial" w:hAnsi="Arial"/>
                <w:b w:val="0"/>
                <w:sz w:val="20"/>
              </w:rPr>
              <w:t xml:space="preserve">[−0,0588; −0,0569]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−6,5</w:t>
            </w:r>
          </w:p>
        </w:tc>
        <w:tc>
          <w:tcPr>
            <w:tcW w:type="dxa" w:w="1437"/>
            <w:vAlign w:val="top"/>
          </w:tcPr>
          <w:p>
            <w:pPr>
              <w:pStyle w:val="Compact"/>
              <w:spacing w:line="240" w:lineRule="auto" w:after="80"/>
              <w:ind w:firstLine="0"/>
              <w:jc w:val="right"/>
            </w:pPr>
            <w:r>
              <w:rPr>
                <w:rFonts w:ascii="Arial" w:hAnsi="Arial"/>
                <w:b w:val="0"/>
                <w:sz w:val="20"/>
              </w:rPr>
              <w:t xml:space="preserve">−6,2</w:t>
            </w:r>
          </w:p>
        </w:tc>
        <w:tc>
          <w:tcPr>
            <w:tcW w:type="dxa" w:w="1437"/>
            <w:vAlign w:val="top"/>
          </w:tcPr>
          <w:p>
            <w:pPr>
              <w:pStyle w:val="Compact"/>
              <w:spacing w:line="240" w:lineRule="auto" w:after="80"/>
              <w:ind w:firstLine="0"/>
              <w:jc w:val="right"/>
            </w:pPr>
            <w:r>
              <w:rPr>
                <w:rFonts w:ascii="Arial" w:hAnsi="Arial"/>
                <w:b w:val="0"/>
                <w:sz w:val="20"/>
              </w:rPr>
              <w:t xml:space="preserve">−6,1</w:t>
            </w:r>
          </w:p>
        </w:tc>
        <w:tc>
          <w:tcPr>
            <w:tcW w:type="dxa" w:w="1450"/>
            <w:vAlign w:val="top"/>
          </w:tcPr>
          <w:p>
            <w:pPr>
              <w:pStyle w:val="Compact"/>
              <w:spacing w:line="240" w:lineRule="auto" w:after="80"/>
              <w:ind w:firstLine="0"/>
              <w:jc w:val="right"/>
            </w:pPr>
            <w:r>
              <w:rPr>
                <w:rFonts w:ascii="Arial" w:hAnsi="Arial"/>
                <w:b w:val="0"/>
                <w:sz w:val="20"/>
              </w:rPr>
              <w:t xml:space="preserve">−5,6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Efeitos fixos de UF</w:t>
            </w:r>
          </w:p>
        </w:tc>
        <w:tc>
          <w:tcPr>
            <w:tcW w:type="dxa" w:w="1415"/>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sim</w:t>
            </w:r>
          </w:p>
        </w:tc>
        <w:tc>
          <w:tcPr>
            <w:tcW w:type="dxa" w:w="1450"/>
            <w:vAlign w:val="top"/>
          </w:tcPr>
          <w:p>
            <w:pPr>
              <w:pStyle w:val="Compact"/>
              <w:spacing w:line="240" w:lineRule="auto" w:after="80"/>
              <w:ind w:firstLine="0"/>
              <w:jc w:val="left"/>
            </w:pPr>
            <w:r>
              <w:rPr>
                <w:rFonts w:ascii="Arial" w:hAnsi="Arial"/>
                <w:b w:val="0"/>
                <w:sz w:val="20"/>
              </w:rPr>
              <w:t xml:space="preserve">sim</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vAlign w:val="top"/>
          </w:tcPr>
          <w:p>
            <w:pPr>
              <w:pStyle w:val="Compact"/>
              <w:spacing w:line="240" w:lineRule="auto" w:after="80"/>
              <w:ind w:firstLine="0"/>
              <w:jc w:val="right"/>
            </w:pPr>
            <w:r>
              <w:rPr>
                <w:rFonts w:ascii="Arial" w:hAnsi="Arial"/>
                <w:b w:val="0"/>
                <w:sz w:val="20"/>
              </w:rPr>
              <w:t xml:space="preserve">0,3018</w:t>
            </w:r>
          </w:p>
        </w:tc>
        <w:tc>
          <w:tcPr>
            <w:tcW w:type="dxa" w:w="1437"/>
            <w:vAlign w:val="top"/>
          </w:tcPr>
          <w:p>
            <w:pPr>
              <w:pStyle w:val="Compact"/>
              <w:spacing w:line="240" w:lineRule="auto" w:after="80"/>
              <w:ind w:firstLine="0"/>
              <w:jc w:val="right"/>
            </w:pPr>
            <w:r>
              <w:rPr>
                <w:rFonts w:ascii="Arial" w:hAnsi="Arial"/>
                <w:b w:val="0"/>
                <w:sz w:val="20"/>
              </w:rPr>
              <w:t xml:space="preserve">0,1012</w:t>
            </w:r>
          </w:p>
        </w:tc>
        <w:tc>
          <w:tcPr>
            <w:tcW w:type="dxa" w:w="1437"/>
            <w:vAlign w:val="top"/>
          </w:tcPr>
          <w:p>
            <w:pPr>
              <w:pStyle w:val="Compact"/>
              <w:spacing w:line="240" w:lineRule="auto" w:after="80"/>
              <w:ind w:firstLine="0"/>
              <w:jc w:val="right"/>
            </w:pPr>
            <w:r>
              <w:rPr>
                <w:rFonts w:ascii="Arial" w:hAnsi="Arial"/>
                <w:b w:val="0"/>
                <w:sz w:val="20"/>
              </w:rPr>
              <w:t xml:space="preserve">0,0454</w:t>
            </w:r>
          </w:p>
        </w:tc>
        <w:tc>
          <w:tcPr>
            <w:tcW w:type="dxa" w:w="1437"/>
            <w:vAlign w:val="top"/>
          </w:tcPr>
          <w:p>
            <w:pPr>
              <w:pStyle w:val="Compact"/>
              <w:spacing w:line="240" w:lineRule="auto" w:after="80"/>
              <w:ind w:firstLine="0"/>
              <w:jc w:val="right"/>
            </w:pPr>
            <w:r>
              <w:rPr>
                <w:rFonts w:ascii="Arial" w:hAnsi="Arial"/>
                <w:b w:val="0"/>
                <w:sz w:val="20"/>
              </w:rPr>
              <w:t xml:space="preserve">0,0297</w:t>
            </w:r>
          </w:p>
        </w:tc>
        <w:tc>
          <w:tcPr>
            <w:tcW w:type="dxa" w:w="1450"/>
            <w:vAlign w:val="top"/>
          </w:tcPr>
          <w:p>
            <w:pPr>
              <w:pStyle w:val="Compact"/>
              <w:spacing w:line="240" w:lineRule="auto" w:after="80"/>
              <w:ind w:firstLine="0"/>
              <w:jc w:val="right"/>
            </w:pPr>
            <w:r>
              <w:rPr>
                <w:rFonts w:ascii="Arial" w:hAnsi="Arial"/>
                <w:b w:val="0"/>
                <w:sz w:val="20"/>
              </w:rPr>
              <w:t xml:space="preserve">0,0263</w:t>
            </w:r>
          </w:p>
        </w:tc>
      </w:tr>
      <w:tr>
        <w:trPr>
          <w:cantSplit/>
        </w:trPr>
        <w:tc>
          <w:tcPr>
            <w:tcW w:type="dxa" w:w="1895"/>
            <w:vAlign w:val="top"/>
          </w:tcPr>
          <w:p>
            <w:pPr>
              <w:pStyle w:val="Compact"/>
              <w:spacing w:line="240" w:lineRule="auto" w:after="8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vAlign w:val="top"/>
          </w:tcPr>
          <w:p>
            <w:pPr>
              <w:pStyle w:val="Compact"/>
              <w:spacing w:line="240" w:lineRule="auto" w:after="80"/>
              <w:ind w:firstLine="0"/>
              <w:jc w:val="right"/>
            </w:pPr>
            <w:r>
              <w:rPr>
                <w:rFonts w:ascii="Arial" w:hAnsi="Arial"/>
                <w:b w:val="0"/>
                <w:sz w:val="20"/>
              </w:rPr>
              <w:t xml:space="preserve">0,5524</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0,3620</w:t>
            </w:r>
          </w:p>
        </w:tc>
        <w:tc>
          <w:tcPr>
            <w:tcW w:type="dxa" w:w="1450"/>
            <w:vAlign w:val="top"/>
          </w:tcPr>
          <w:p>
            <w:pPr>
              <w:pStyle w:val="Compact"/>
              <w:spacing w:line="240" w:lineRule="auto" w:after="80"/>
              <w:ind w:firstLine="0"/>
              <w:jc w:val="right"/>
            </w:pPr>
            <w:r>
              <w:rPr>
                <w:rFonts w:ascii="Arial" w:hAnsi="Arial"/>
                <w:b w:val="0"/>
                <w:sz w:val="20"/>
              </w:rPr>
              <w:t xml:space="preserve">0,3237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ICC</w:t>
            </w:r>
            <m:oMath>
              <m:sSub>
                <m:e>
                  <m:r>
                    <m:t>​</m:t>
                  </m:r>
                </m:e>
                <m:sub>
                  <m:r>
                    <m:rPr>
                      <m:nor/>
                      <m:sty m:val="p"/>
                    </m:rPr>
                    <m:t>UPA</m:t>
                  </m:r>
                </m:sub>
              </m:sSub>
            </m:oMath>
          </w:p>
        </w:tc>
        <w:tc>
          <w:tcPr>
            <w:tcW w:type="dxa" w:w="1415"/>
            <w:vAlign w:val="top"/>
          </w:tcPr>
          <w:p>
            <w:pPr>
              <w:pStyle w:val="Compact"/>
              <w:spacing w:line="240" w:lineRule="auto" w:after="80"/>
              <w:ind w:firstLine="0"/>
              <w:jc w:val="right"/>
            </w:pPr>
            <w:r>
              <w:rPr>
                <w:rFonts w:ascii="Arial" w:hAnsi="Arial"/>
                <w:b w:val="0"/>
                <w:sz w:val="20"/>
              </w:rPr>
              <w:t xml:space="preserve">0,353</w:t>
            </w:r>
          </w:p>
        </w:tc>
        <w:tc>
          <w:tcPr>
            <w:tcW w:type="dxa" w:w="1437"/>
            <w:vAlign w:val="top"/>
          </w:tcPr>
          <w:p>
            <w:pPr>
              <w:pStyle w:val="Compact"/>
              <w:spacing w:line="240" w:lineRule="auto" w:after="80"/>
              <w:ind w:firstLine="0"/>
              <w:jc w:val="right"/>
            </w:pPr>
            <w:r>
              <w:rPr>
                <w:rFonts w:ascii="Arial" w:hAnsi="Arial"/>
                <w:b w:val="0"/>
                <w:sz w:val="20"/>
              </w:rPr>
              <w:t xml:space="preserve">0,219</w:t>
            </w:r>
          </w:p>
        </w:tc>
        <w:tc>
          <w:tcPr>
            <w:tcW w:type="dxa" w:w="1437"/>
            <w:vAlign w:val="top"/>
          </w:tcPr>
          <w:p>
            <w:pPr>
              <w:pStyle w:val="Compact"/>
              <w:spacing w:line="240" w:lineRule="auto" w:after="80"/>
              <w:ind w:firstLine="0"/>
              <w:jc w:val="right"/>
            </w:pPr>
            <w:r>
              <w:rPr>
                <w:rFonts w:ascii="Arial" w:hAnsi="Arial"/>
                <w:b w:val="0"/>
                <w:sz w:val="20"/>
              </w:rPr>
              <w:t xml:space="preserve">0,111</w:t>
            </w:r>
          </w:p>
        </w:tc>
        <w:tc>
          <w:tcPr>
            <w:tcW w:type="dxa" w:w="1437"/>
            <w:vAlign w:val="top"/>
          </w:tcPr>
          <w:p>
            <w:pPr>
              <w:pStyle w:val="Compact"/>
              <w:spacing w:line="240" w:lineRule="auto" w:after="80"/>
              <w:ind w:firstLine="0"/>
              <w:jc w:val="right"/>
            </w:pPr>
            <w:r>
              <w:rPr>
                <w:rFonts w:ascii="Arial" w:hAnsi="Arial"/>
                <w:b w:val="0"/>
                <w:sz w:val="20"/>
              </w:rPr>
              <w:t xml:space="preserve">0,076</w:t>
            </w:r>
          </w:p>
        </w:tc>
        <w:tc>
          <w:tcPr>
            <w:tcW w:type="dxa" w:w="1450"/>
            <w:vAlign w:val="top"/>
          </w:tcPr>
          <w:p>
            <w:pPr>
              <w:pStyle w:val="Compact"/>
              <w:spacing w:line="240" w:lineRule="auto" w:after="80"/>
              <w:ind w:firstLine="0"/>
              <w:jc w:val="right"/>
            </w:pPr>
            <w:r>
              <w:rPr>
                <w:rFonts w:ascii="Arial" w:hAnsi="Arial"/>
                <w:b w:val="0"/>
                <w:sz w:val="20"/>
              </w:rPr>
              <w:t xml:space="preserve">0,075</w:t>
            </w:r>
          </w:p>
        </w:tc>
      </w:tr>
      <w:tr>
        <w:trPr>
          <w:cantSplit/>
        </w:trPr>
        <w:tc>
          <w:tcPr>
            <w:tcW w:type="dxa" w:w="1895"/>
            <w:vAlign w:val="top"/>
          </w:tcPr>
          <w:p>
            <w:pPr>
              <w:pStyle w:val="Compact"/>
              <w:spacing w:line="240" w:lineRule="auto" w:after="8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66,5</w:t>
            </w:r>
          </w:p>
        </w:tc>
        <w:tc>
          <w:tcPr>
            <w:tcW w:type="dxa" w:w="1437"/>
            <w:vAlign w:val="top"/>
          </w:tcPr>
          <w:p>
            <w:pPr>
              <w:pStyle w:val="Compact"/>
              <w:spacing w:line="240" w:lineRule="auto" w:after="80"/>
              <w:ind w:firstLine="0"/>
              <w:jc w:val="right"/>
            </w:pPr>
            <w:r>
              <w:rPr>
                <w:rFonts w:ascii="Arial" w:hAnsi="Arial"/>
                <w:b w:val="0"/>
                <w:sz w:val="20"/>
              </w:rPr>
              <w:t xml:space="preserve">85,0</w:t>
            </w:r>
          </w:p>
        </w:tc>
        <w:tc>
          <w:tcPr>
            <w:tcW w:type="dxa" w:w="1437"/>
            <w:vAlign w:val="top"/>
          </w:tcPr>
          <w:p>
            <w:pPr>
              <w:pStyle w:val="Compact"/>
              <w:spacing w:line="240" w:lineRule="auto" w:after="80"/>
              <w:ind w:firstLine="0"/>
              <w:jc w:val="right"/>
            </w:pPr>
            <w:r>
              <w:rPr>
                <w:rFonts w:ascii="Arial" w:hAnsi="Arial"/>
                <w:b w:val="0"/>
                <w:sz w:val="20"/>
              </w:rPr>
              <w:t xml:space="preserve">90,1</w:t>
            </w:r>
          </w:p>
        </w:tc>
        <w:tc>
          <w:tcPr>
            <w:tcW w:type="dxa" w:w="1450"/>
            <w:vAlign w:val="top"/>
          </w:tcPr>
          <w:p>
            <w:pPr>
              <w:pStyle w:val="Compact"/>
              <w:spacing w:line="240" w:lineRule="auto" w:after="80"/>
              <w:ind w:firstLine="0"/>
              <w:jc w:val="right"/>
            </w:pPr>
            <w:r>
              <w:rPr>
                <w:rFonts w:ascii="Arial" w:hAnsi="Arial"/>
                <w:b w:val="0"/>
                <w:sz w:val="20"/>
              </w:rPr>
              <w:t xml:space="preserve">91,3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−2 LL (deviance)</w:t>
            </w:r>
          </w:p>
        </w:tc>
        <w:tc>
          <w:tcPr>
            <w:tcW w:type="dxa" w:w="1415"/>
            <w:vAlign w:val="top"/>
          </w:tcPr>
          <w:p>
            <w:pPr>
              <w:pStyle w:val="Compact"/>
              <w:spacing w:line="240" w:lineRule="auto" w:after="80"/>
              <w:ind w:firstLine="0"/>
              <w:jc w:val="right"/>
            </w:pPr>
            <w:r>
              <w:rPr>
                <w:rFonts w:ascii="Arial" w:hAnsi="Arial"/>
                <w:b w:val="0"/>
                <w:sz w:val="20"/>
              </w:rPr>
              <w:t xml:space="preserve">17.439.754</w:t>
            </w:r>
          </w:p>
        </w:tc>
        <w:tc>
          <w:tcPr>
            <w:tcW w:type="dxa" w:w="1437"/>
            <w:vAlign w:val="top"/>
          </w:tcPr>
          <w:p>
            <w:pPr>
              <w:pStyle w:val="Compact"/>
              <w:spacing w:line="240" w:lineRule="auto" w:after="80"/>
              <w:ind w:firstLine="0"/>
              <w:jc w:val="right"/>
            </w:pPr>
            <w:r>
              <w:rPr>
                <w:rFonts w:ascii="Arial" w:hAnsi="Arial"/>
                <w:b w:val="0"/>
                <w:sz w:val="20"/>
              </w:rPr>
              <w:t xml:space="preserve">14.160.374</w:t>
            </w:r>
          </w:p>
        </w:tc>
        <w:tc>
          <w:tcPr>
            <w:tcW w:type="dxa" w:w="1437"/>
            <w:vAlign w:val="top"/>
          </w:tcPr>
          <w:p>
            <w:pPr>
              <w:pStyle w:val="Compact"/>
              <w:spacing w:line="240" w:lineRule="auto" w:after="80"/>
              <w:ind w:firstLine="0"/>
              <w:jc w:val="right"/>
            </w:pPr>
            <w:r>
              <w:rPr>
                <w:rFonts w:ascii="Arial" w:hAnsi="Arial"/>
                <w:b w:val="0"/>
                <w:sz w:val="20"/>
              </w:rPr>
              <w:t xml:space="preserve">14.130.562</w:t>
            </w:r>
          </w:p>
        </w:tc>
        <w:tc>
          <w:tcPr>
            <w:tcW w:type="dxa" w:w="1437"/>
            <w:vAlign w:val="top"/>
          </w:tcPr>
          <w:p>
            <w:pPr>
              <w:pStyle w:val="Compact"/>
              <w:spacing w:line="240" w:lineRule="auto" w:after="80"/>
              <w:ind w:firstLine="0"/>
              <w:jc w:val="right"/>
            </w:pPr>
            <w:r>
              <w:rPr>
                <w:rFonts w:ascii="Arial" w:hAnsi="Arial"/>
                <w:b w:val="0"/>
                <w:sz w:val="20"/>
              </w:rPr>
              <w:t xml:space="preserve">14.115.850</w:t>
            </w:r>
          </w:p>
        </w:tc>
        <w:tc>
          <w:tcPr>
            <w:tcW w:type="dxa" w:w="1450"/>
            <w:vAlign w:val="top"/>
          </w:tcPr>
          <w:p>
            <w:pPr>
              <w:pStyle w:val="Compact"/>
              <w:spacing w:line="240" w:lineRule="auto" w:after="80"/>
              <w:ind w:firstLine="0"/>
              <w:jc w:val="right"/>
            </w:pPr>
            <w:r>
              <w:rPr>
                <w:rFonts w:ascii="Arial" w:hAnsi="Arial"/>
                <w:b w:val="0"/>
                <w:sz w:val="20"/>
              </w:rPr>
              <w:t xml:space="preserve">13.255.146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AIC</w:t>
            </w:r>
          </w:p>
        </w:tc>
        <w:tc>
          <w:tcPr>
            <w:tcW w:type="dxa" w:w="1415"/>
            <w:vAlign w:val="top"/>
          </w:tcPr>
          <w:p>
            <w:pPr>
              <w:pStyle w:val="Compact"/>
              <w:spacing w:line="240" w:lineRule="auto" w:after="80"/>
              <w:ind w:firstLine="0"/>
              <w:jc w:val="right"/>
            </w:pPr>
            <w:r>
              <w:rPr>
                <w:rFonts w:ascii="Arial" w:hAnsi="Arial"/>
                <w:b w:val="0"/>
                <w:sz w:val="20"/>
              </w:rPr>
              <w:t xml:space="preserve">17.439.760</w:t>
            </w:r>
          </w:p>
        </w:tc>
        <w:tc>
          <w:tcPr>
            <w:tcW w:type="dxa" w:w="1437"/>
            <w:vAlign w:val="top"/>
          </w:tcPr>
          <w:p>
            <w:pPr>
              <w:pStyle w:val="Compact"/>
              <w:spacing w:line="240" w:lineRule="auto" w:after="80"/>
              <w:ind w:firstLine="0"/>
              <w:jc w:val="right"/>
            </w:pPr>
            <w:r>
              <w:rPr>
                <w:rFonts w:ascii="Arial" w:hAnsi="Arial"/>
                <w:b w:val="0"/>
                <w:sz w:val="20"/>
              </w:rPr>
              <w:t xml:space="preserve">14.160.418</w:t>
            </w:r>
          </w:p>
        </w:tc>
        <w:tc>
          <w:tcPr>
            <w:tcW w:type="dxa" w:w="1437"/>
            <w:vAlign w:val="top"/>
          </w:tcPr>
          <w:p>
            <w:pPr>
              <w:pStyle w:val="Compact"/>
              <w:spacing w:line="240" w:lineRule="auto" w:after="80"/>
              <w:ind w:firstLine="0"/>
              <w:jc w:val="right"/>
            </w:pPr>
            <w:r>
              <w:rPr>
                <w:rFonts w:ascii="Arial" w:hAnsi="Arial"/>
                <w:b w:val="0"/>
                <w:sz w:val="20"/>
              </w:rPr>
              <w:t xml:space="preserve">14.130.612</w:t>
            </w:r>
          </w:p>
        </w:tc>
        <w:tc>
          <w:tcPr>
            <w:tcW w:type="dxa" w:w="1437"/>
            <w:vAlign w:val="top"/>
          </w:tcPr>
          <w:p>
            <w:pPr>
              <w:pStyle w:val="Compact"/>
              <w:spacing w:line="240" w:lineRule="auto" w:after="80"/>
              <w:ind w:firstLine="0"/>
              <w:jc w:val="right"/>
            </w:pPr>
            <w:r>
              <w:rPr>
                <w:rFonts w:ascii="Arial" w:hAnsi="Arial"/>
                <w:b w:val="0"/>
                <w:sz w:val="20"/>
              </w:rPr>
              <w:t xml:space="preserve">14.115.952</w:t>
            </w:r>
          </w:p>
        </w:tc>
        <w:tc>
          <w:tcPr>
            <w:tcW w:type="dxa" w:w="1450"/>
            <w:vAlign w:val="top"/>
          </w:tcPr>
          <w:p>
            <w:pPr>
              <w:pStyle w:val="Compact"/>
              <w:spacing w:line="240" w:lineRule="auto" w:after="80"/>
              <w:ind w:firstLine="0"/>
              <w:jc w:val="right"/>
            </w:pPr>
            <w:r>
              <w:rPr>
                <w:rFonts w:ascii="Arial" w:hAnsi="Arial"/>
                <w:b w:val="0"/>
                <w:sz w:val="20"/>
              </w:rPr>
              <w:t xml:space="preserve">13.255.272</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BIC</w:t>
            </w:r>
          </w:p>
        </w:tc>
        <w:tc>
          <w:tcPr>
            <w:tcW w:type="dxa" w:w="1415"/>
            <w:vAlign w:val="top"/>
          </w:tcPr>
          <w:p>
            <w:pPr>
              <w:pStyle w:val="Compact"/>
              <w:spacing w:line="240" w:lineRule="auto" w:after="80"/>
              <w:ind w:firstLine="0"/>
              <w:jc w:val="right"/>
            </w:pPr>
            <w:r>
              <w:rPr>
                <w:rFonts w:ascii="Arial" w:hAnsi="Arial"/>
                <w:b w:val="0"/>
                <w:sz w:val="20"/>
              </w:rPr>
              <w:t xml:space="preserve">17.439.802</w:t>
            </w:r>
          </w:p>
        </w:tc>
        <w:tc>
          <w:tcPr>
            <w:tcW w:type="dxa" w:w="1437"/>
            <w:vAlign w:val="top"/>
          </w:tcPr>
          <w:p>
            <w:pPr>
              <w:pStyle w:val="Compact"/>
              <w:spacing w:line="240" w:lineRule="auto" w:after="80"/>
              <w:ind w:firstLine="0"/>
              <w:jc w:val="right"/>
            </w:pPr>
            <w:r>
              <w:rPr>
                <w:rFonts w:ascii="Arial" w:hAnsi="Arial"/>
                <w:b w:val="0"/>
                <w:sz w:val="20"/>
              </w:rPr>
              <w:t xml:space="preserve">14.160.722</w:t>
            </w:r>
          </w:p>
        </w:tc>
        <w:tc>
          <w:tcPr>
            <w:tcW w:type="dxa" w:w="1437"/>
            <w:vAlign w:val="top"/>
          </w:tcPr>
          <w:p>
            <w:pPr>
              <w:pStyle w:val="Compact"/>
              <w:spacing w:line="240" w:lineRule="auto" w:after="80"/>
              <w:ind w:firstLine="0"/>
              <w:jc w:val="right"/>
            </w:pPr>
            <w:r>
              <w:rPr>
                <w:rFonts w:ascii="Arial" w:hAnsi="Arial"/>
                <w:b w:val="0"/>
                <w:sz w:val="20"/>
              </w:rPr>
              <w:t xml:space="preserve">14.130.959</w:t>
            </w:r>
          </w:p>
        </w:tc>
        <w:tc>
          <w:tcPr>
            <w:tcW w:type="dxa" w:w="1437"/>
            <w:vAlign w:val="top"/>
          </w:tcPr>
          <w:p>
            <w:pPr>
              <w:pStyle w:val="Compact"/>
              <w:spacing w:line="240" w:lineRule="auto" w:after="80"/>
              <w:ind w:firstLine="0"/>
              <w:jc w:val="right"/>
            </w:pPr>
            <w:r>
              <w:rPr>
                <w:rFonts w:ascii="Arial" w:hAnsi="Arial"/>
                <w:b w:val="0"/>
                <w:sz w:val="20"/>
              </w:rPr>
              <w:t xml:space="preserve">14.116.659</w:t>
            </w:r>
          </w:p>
        </w:tc>
        <w:tc>
          <w:tcPr>
            <w:tcW w:type="dxa" w:w="1450"/>
            <w:vAlign w:val="top"/>
          </w:tcPr>
          <w:p>
            <w:pPr>
              <w:pStyle w:val="Compact"/>
              <w:spacing w:line="240" w:lineRule="auto" w:after="80"/>
              <w:ind w:firstLine="0"/>
              <w:jc w:val="right"/>
            </w:pPr>
            <w:r>
              <w:rPr>
                <w:rFonts w:ascii="Arial" w:hAnsi="Arial"/>
                <w:b w:val="0"/>
                <w:sz w:val="20"/>
              </w:rPr>
              <w:t xml:space="preserve">13.256.145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3.279.380 (19)</w:t>
            </w:r>
          </w:p>
        </w:tc>
        <w:tc>
          <w:tcPr>
            <w:tcW w:type="dxa" w:w="1437"/>
            <w:vAlign w:val="top"/>
          </w:tcPr>
          <w:p>
            <w:pPr>
              <w:pStyle w:val="Compact"/>
              <w:spacing w:line="240" w:lineRule="auto" w:after="80"/>
              <w:ind w:firstLine="0"/>
              <w:jc w:val="right"/>
            </w:pPr>
            <w:r>
              <w:rPr>
                <w:rFonts w:ascii="Arial" w:hAnsi="Arial"/>
                <w:b w:val="0"/>
                <w:sz w:val="20"/>
              </w:rPr>
              <w:t xml:space="preserve">29.811 (3)</w:t>
            </w:r>
          </w:p>
        </w:tc>
        <w:tc>
          <w:tcPr>
            <w:tcW w:type="dxa" w:w="1437"/>
            <w:vAlign w:val="top"/>
          </w:tcPr>
          <w:p>
            <w:pPr>
              <w:pStyle w:val="Compact"/>
              <w:spacing w:line="240" w:lineRule="auto" w:after="80"/>
              <w:ind w:firstLine="0"/>
              <w:jc w:val="right"/>
            </w:pPr>
            <w:r>
              <w:rPr>
                <w:rFonts w:ascii="Arial" w:hAnsi="Arial"/>
                <w:b w:val="0"/>
                <w:sz w:val="20"/>
              </w:rPr>
              <w:t xml:space="preserve">14.712 (26)</w:t>
            </w:r>
          </w:p>
        </w:tc>
        <w:tc>
          <w:tcPr>
            <w:tcW w:type="dxa" w:w="1450"/>
            <w:vAlign w:val="top"/>
          </w:tcPr>
          <w:p>
            <w:pPr>
              <w:pStyle w:val="Compact"/>
              <w:spacing w:line="240" w:lineRule="auto" w:after="8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vAlign w:val="top"/>
          </w:tcPr>
          <w:p>
            <w:pPr>
              <w:pStyle w:val="Compact"/>
              <w:spacing w:line="240" w:lineRule="auto" w:after="8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50"/>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r>
    </w:tbl>
    <w:bookmarkEnd w:id="3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Estratégia</w:t>
      </w:r>
      <w:r>
        <w:rPr>
          <w:rFonts w:ascii="Arial" w:hAnsi="Arial"/>
          <w:sz w:val="22"/>
        </w:rPr>
        <w:t xml:space="preserve"> </w:t>
      </w:r>
      <w:r>
        <w:rPr>
          <w:rFonts w:ascii="Arial" w:hAnsi="Arial"/>
          <w:sz w:val="22"/>
        </w:rPr>
        <w:t>step-up</w:t>
      </w:r>
      <w:r>
        <w:rPr>
          <w:rFonts w:ascii="Arial" w:hAnsi="Arial"/>
          <w:sz w:val="22"/>
        </w:rPr>
        <w:t>, PNAD Contínua 2016–2025, população completa (</w:t>
      </w:r>
      <m:oMath>
        <m:r>
          <m:t>N</m:t>
        </m:r>
        <m:r>
          <m:rPr>
            <m:sty m:val="p"/>
          </m:rPr>
          <m:t>=</m:t>
        </m:r>
        <m:r>
          <m:t>7.694</m:t>
        </m:r>
        <m:r>
          <m:t>.080</m:t>
        </m:r>
      </m:oMath>
      <w:r>
        <w:rPr>
          <w:rFonts w:ascii="Arial" w:hAnsi="Arial"/>
          <w:sz w:val="22"/>
        </w:rPr>
        <w:t>; 40.728 UPAs; 27 UFs)</w:t>
      </w:r>
      <w:r>
        <w:rPr>
          <w:rFonts w:ascii="Arial" w:hAnsi="Arial"/>
          <w:sz w:val="22"/>
        </w:rPr>
        <w:t xml:space="preserve">. </w:t>
      </w:r>
      <w:r>
        <w:rPr>
          <w:rFonts w:ascii="Arial" w:hAnsi="Arial"/>
          <w:sz w:val="22"/>
        </w:rPr>
        <w:t xml:space="preserve">Coeficientes com erro-padrão do modelo entre parênteses (a correlação intra-UPA já está no efeito aleatório). Estimação por máxima verossimilhança [ML], para os testes LR entre degraus; REML coincide. </w:t>
      </w:r>
      <w:r>
        <w:rPr>
          <w:rFonts w:ascii="Arial" w:hAnsi="Arial"/>
          <w:sz w:val="22"/>
        </w:rPr>
      </w:r>
      <w:r>
        <w:rPr>
          <w:rFonts w:ascii="Arial" w:hAnsi="Arial"/>
          <w:sz w:val="22"/>
        </w:rPr>
        <w:t>Inclinação aleatória de</w:t>
      </w:r>
      <w:r>
        <w:rPr>
          <w:rFonts w:ascii="Arial" w:hAnsi="Arial"/>
          <w:sz w:val="22"/>
        </w:rPr>
        <w:t xml:space="preserve"> </w:t>
      </w:r>
      <w:r>
        <w:rPr>
          <w:rStyle w:val="VerbatimChar"/>
          <w:rFonts w:ascii="Arial" w:hAnsi="Arial"/>
          <w:sz w:val="22"/>
        </w:rPr>
        <w:t>negro</w:t>
      </w:r>
      <w:r>
        <w:rPr>
          <w:rFonts w:ascii="Arial" w:hAnsi="Arial"/>
          <w:sz w:val="22"/>
        </w:rPr>
        <w:t xml:space="preserve"> </w:t>
      </w:r>
      <w:r>
        <w:rPr>
          <w:rFonts w:ascii="Arial" w:hAnsi="Arial"/>
          <w:sz w:val="22"/>
        </w:rPr>
        <w:t>por UPA (M3 +</w:t>
      </w:r>
      <w:r>
        <w:rPr>
          <w:rFonts w:ascii="Arial" w:hAnsi="Arial"/>
          <w:sz w:val="22"/>
        </w:rPr>
        <w:t xml:space="preserve"> </w:t>
      </w:r>
      <m:oMath>
        <m:sSub>
          <m:e>
            <m:r>
              <m:t>u</m:t>
            </m:r>
          </m:e>
          <m:sub>
            <m:r>
              <m:t>1</m:t>
            </m:r>
            <m:r>
              <m:t>j</m:t>
            </m:r>
          </m:sub>
        </m:sSub>
      </m:oMath>
      <w:r>
        <w:rPr>
          <w:rFonts w:ascii="Arial" w:hAnsi="Arial"/>
          <w:sz w:val="22"/>
        </w:rPr>
        <w:t>):</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(2 g.l.),</w:t>
      </w:r>
      <w:r>
        <w:rPr>
          <w:rFonts w:ascii="Arial" w:hAnsi="Arial"/>
          <w:sz w:val="22"/>
        </w:rPr>
        <w:t xml:space="preserve"> </w:t>
      </w:r>
      <m:oMath>
        <m:r>
          <m:t>p</m:t>
        </m:r>
        <m:r>
          <m:rPr>
            <m:sty m:val="p"/>
          </m:rPr>
          <m:t>&lt;</m:t>
        </m:r>
        <m:r>
          <m:t>0</m:t>
        </m:r>
        <m:r>
          <m:rPr>
            <m:sty m:val="p"/>
          </m:rPr>
          <m:t>,</m:t>
        </m:r>
        <m:r>
          <m:t>001</m:t>
        </m:r>
      </m:oMath>
      <w:r>
        <w:rPr>
          <w:rFonts w:ascii="Arial" w:hAnsi="Arial"/>
          <w:sz w:val="22"/>
        </w:rPr>
        <w:t>: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6"/>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e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7"/>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8"/>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9"/>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1"/>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r>
        <w:rPr>
          <w:rFonts w:ascii="Arial" w:hAnsi="Arial"/>
          <w:sz w:val="22"/>
        </w:rPr>
        <w:t xml:space="preserve"> </w:t>
      </w:r>
      <w:r>
        <w:rPr>
          <w:rFonts w:ascii="Arial" w:hAnsi="Arial"/>
          <w:sz w:val="22"/>
        </w:rPr>
        <w:t xml:space="preserve">(Tabela 4):</w:t>
      </w:r>
    </w:p>
    <w:bookmarkStart w:id="42" w:name="tab:simetria"/>
    <w:p>
      <w:pPr>
        <w:pStyle w:val="TableCaption"/>
        <w:keepNext/>
        <w:keepLines/>
        <w:spacing w:line="240" w:lineRule="auto" w:before="240" w:after="40"/>
        <w:ind w:firstLine="0"/>
        <w:jc w:val="both"/>
      </w:pPr>
      <w:r>
        <w:rPr>
          <w:rFonts w:ascii="Arial" w:hAnsi="Arial"/>
          <w:sz w:val="22"/>
        </w:rPr>
        <w:t xml:space="preserve">Tabela 4. Simetria dos controles entre os dois modelos</w:t>
      </w:r>
    </w:p>
    <w:tbl>
      <w:tblPr>
        <w:tblStyle w:val="Table"/>
        <w:tblW w:type="auto" w:w="0"/>
        <w:tblLayout w:type="fixed"/>
        <w:tblLook w:firstRow="1" w:lastRow="0" w:firstColumn="0" w:lastColumn="0" w:noHBand="0" w:noVBand="0" w:val="0020"/>
        <w:tblCaption w:val="Tabela 4.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Predeterminados</w:t>
            </w:r>
          </w:p>
        </w:tc>
        <w:tc>
          <w:tcPr>
            <w:tcW w:type="dxa" w:w="3564"/>
            <w:vAlign w:val="top"/>
          </w:tcPr>
          <w:p>
            <w:pPr>
              <w:pStyle w:val="Compact"/>
              <w:keepNext/>
              <w:spacing w:line="240" w:lineRule="auto" w:after="8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Contexto do bairro</w:t>
            </w:r>
          </w:p>
        </w:tc>
        <w:tc>
          <w:tcPr>
            <w:tcW w:type="dxa" w:w="3564"/>
            <w:vAlign w:val="top"/>
          </w:tcPr>
          <w:p>
            <w:pPr>
              <w:pStyle w:val="Compact"/>
              <w:keepNext/>
              <w:spacing w:line="240" w:lineRule="auto" w:after="80"/>
              <w:ind w:firstLine="0"/>
              <w:jc w:val="left"/>
            </w:pPr>
            <w:r>
              <w:rPr>
                <w:rFonts w:ascii="Arial" w:hAnsi="Arial"/>
                <w:b w:val="0"/>
                <w:sz w:val="22"/>
              </w:rPr>
              <w:t xml:space="preserve">% negro, desemprego e escolaridade média da UPA</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Jornada</w:t>
            </w:r>
          </w:p>
        </w:tc>
        <w:tc>
          <w:tcPr>
            <w:tcW w:type="dxa" w:w="3564"/>
            <w:vAlign w:val="top"/>
          </w:tcPr>
          <w:p>
            <w:pPr>
              <w:pStyle w:val="Compact"/>
              <w:keepNext/>
              <w:spacing w:line="240" w:lineRule="auto" w:after="80"/>
              <w:ind w:firstLine="0"/>
              <w:jc w:val="left"/>
            </w:pPr>
            <w:r>
              <w:rPr>
                <w:rFonts w:ascii="Arial" w:hAnsi="Arial"/>
                <w:b w:val="0"/>
                <w:sz w:val="22"/>
              </w:rPr>
              <w:t xml:space="preserve">controle necessário: o desfecho é rendimento mensal</w:t>
            </w:r>
          </w:p>
        </w:tc>
        <w:tc>
          <w:tcPr>
            <w:tcW w:type="dxa" w:w="3337"/>
            <w:vAlign w:val="top"/>
          </w:tcPr>
          <w:p>
            <w:pPr>
              <w:pStyle w:val="Compact"/>
              <w:keepNext/>
              <w:spacing w:line="240" w:lineRule="auto" w:after="8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Os blocos predeterminados são</w:t>
      </w:r>
      <w:r>
        <w:rPr>
          <w:rFonts w:ascii="Arial" w:hAnsi="Arial"/>
          <w:sz w:val="22"/>
        </w:rPr>
        <w:t xml:space="preserve"> </w:t>
      </w:r>
      <w:r>
        <w:rPr>
          <w:rFonts w:ascii="Arial" w:hAnsi="Arial"/>
          <w:sz w:val="22"/>
        </w:rPr>
        <w:t>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3"/>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7" w:name="fig:hlm_blups"/>
    <w:p>
      <w:pPr>
        <w:pStyle w:val="CaptionedFigure"/>
        <w:keepNext/>
        <w:keepLines/>
      </w:pPr>
      <w:r>
        <w:rPr>
          <w:rFonts w:ascii="Arial" w:hAnsi="Arial"/>
          <w:sz w:val="22"/>
        </w:rPr>
        <w:drawing>
          <wp:inline>
            <wp:extent cx="5753100" cy="2525043"/>
            <wp:effectExtent b="0" l="0" r="0" t="0"/>
            <wp:docPr descr="" title="" id="45" name="Picture"/>
            <a:graphic>
              <a:graphicData uri="http://schemas.openxmlformats.org/drawingml/2006/picture">
                <pic:pic>
                  <pic:nvPicPr>
                    <pic:cNvPr descr="outputs/figures/hlm_efeitos_uf_blup_upa.png" id="46" name="Picture"/>
                    <pic:cNvPicPr>
                      <a:picLocks noChangeArrowheads="1" noChangeAspect="1"/>
                    </pic:cNvPicPr>
                  </pic:nvPicPr>
                  <pic:blipFill>
                    <a:blip r:embed="rId44"/>
                    <a:stretch>
                      <a:fillRect/>
                    </a:stretch>
                  </pic:blipFill>
                  <pic:spPr bwMode="auto">
                    <a:xfrm>
                      <a:off x="0" y="0"/>
                      <a:ext cx="5753100" cy="25250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No painel A, os</w:t>
      </w:r>
      <w:r>
        <w:rPr>
          <w:rFonts w:ascii="Arial" w:hAnsi="Arial"/>
          <w:sz w:val="22"/>
        </w:rPr>
        <w:t xml:space="preserve"> </w:t>
      </w:r>
      <w:r>
        <w:rPr>
          <w:rFonts w:ascii="Arial" w:hAnsi="Arial"/>
          <w:sz w:val="22"/>
        </w:rPr>
        <w:t>efeitos fixos de UF do M3 com IC 95% (referência: primeira UF); no painel B,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1: cada ponto no painel A é um estado;</w:t>
      </w:r>
      <w:r>
        <w:rPr>
          <w:rFonts w:ascii="Arial" w:hAnsi="Arial"/>
          <w:sz w:val="22"/>
        </w:rPr>
        <w:t xml:space="preserve"> </w:t>
      </w:r>
      <w:r>
        <w:rPr>
          <w:rFonts w:ascii="Arial" w:hAnsi="Arial"/>
          <w:sz w:val="22"/>
        </w:rPr>
        <w:t xml:space="preserve">a largura do histograma no painel B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1" w:name="fig:hlm_rs"/>
    <w:p>
      <w:pPr>
        <w:pStyle w:val="CaptionedFigure"/>
        <w:keepNext/>
        <w:keepLines/>
      </w:pPr>
      <w:r>
        <w:rPr>
          <w:rFonts w:ascii="Arial" w:hAnsi="Arial"/>
          <w:sz w:val="22"/>
        </w:rPr>
        <w:drawing>
          <wp:inline>
            <wp:extent cx="5753100" cy="2510443"/>
            <wp:effectExtent b="0" l="0" r="0" t="0"/>
            <wp:docPr descr="" title="" id="49" name="Picture"/>
            <a:graphic>
              <a:graphicData uri="http://schemas.openxmlformats.org/drawingml/2006/picture">
                <pic:pic>
                  <pic:nvPicPr>
                    <pic:cNvPr descr="outputs/figures/hlm_rs_retas_upa.png" id="50" name="Picture"/>
                    <pic:cNvPicPr>
                      <a:picLocks noChangeArrowheads="1" noChangeAspect="1"/>
                    </pic:cNvPicPr>
                  </pic:nvPicPr>
                  <pic:blipFill>
                    <a:blip r:embed="rId48"/>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no painel A, a reta ajustada</w:t>
      </w:r>
      <w:r>
        <w:rPr>
          <w:rFonts w:ascii="Arial" w:hAnsi="Arial"/>
          <w:sz w:val="22"/>
        </w:rPr>
        <w:t xml:space="preserve"> </w:t>
      </w:r>
      <w:r>
        <w:rPr>
          <w:rFonts w:ascii="Arial" w:hAnsi="Arial"/>
          <w:sz w:val="22"/>
        </w:rPr>
        <w:t>de cada bairro (amostra de 250 UPAs com brancos e negros) e, em azul, a média; no painel B,</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1"/>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2: no painel 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No painel B,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e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pelo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8)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End w:id="52"/>
    <w:bookmarkStart w:id="58"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3"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Agregado: individual + UF, sem efeito de bairro (OLS)</w:t>
            </w:r>
          </w:p>
        </w:tc>
        <w:tc>
          <w:tcPr>
            <w:tcW w:type="dxa" w:w="1471"/>
            <w:vAlign w:val="top"/>
          </w:tcPr>
          <w:p>
            <w:pPr>
              <w:pStyle w:val="Compact"/>
              <w:keepNext/>
              <w:spacing w:line="240" w:lineRule="auto" w:after="80"/>
              <w:ind w:firstLine="0"/>
              <w:jc w:val="right"/>
            </w:pPr>
            <w:r>
              <w:rPr>
                <w:rFonts w:ascii="Arial" w:hAnsi="Arial"/>
                <w:b w:val="0"/>
                <w:sz w:val="22"/>
              </w:rPr>
              <w:t xml:space="preserve">−0,1104</w:t>
            </w:r>
          </w:p>
        </w:tc>
        <w:tc>
          <w:tcPr>
            <w:tcW w:type="dxa" w:w="1056"/>
            <w:vAlign w:val="top"/>
          </w:tcPr>
          <w:p>
            <w:pPr>
              <w:pStyle w:val="Compact"/>
              <w:keepNext/>
              <w:spacing w:line="240" w:lineRule="auto" w:after="80"/>
              <w:ind w:firstLine="0"/>
              <w:jc w:val="right"/>
            </w:pPr>
            <w:r>
              <w:rPr>
                <w:rFonts w:ascii="Arial" w:hAnsi="Arial"/>
                <w:b w:val="0"/>
                <w:sz w:val="22"/>
              </w:rPr>
              <w:t xml:space="preserve">−10,5</w:t>
            </w:r>
          </w:p>
        </w:tc>
        <w:tc>
          <w:tcPr>
            <w:tcW w:type="dxa" w:w="1276"/>
            <w:vAlign w:val="top"/>
          </w:tcPr>
          <w:p>
            <w:pPr>
              <w:pStyle w:val="Compact"/>
              <w:keepNext/>
              <w:spacing w:line="240" w:lineRule="auto" w:after="80"/>
              <w:ind w:firstLine="0"/>
              <w:jc w:val="left"/>
            </w:pPr>
            <w:r>
              <w:rPr>
                <w:rFonts w:ascii="Arial" w:hAnsi="Arial"/>
                <w:b w:val="0"/>
                <w:sz w:val="22"/>
              </w:rPr>
              <w:t xml:space="preserve">—</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M1: + intercepto aleatório de bairro (UPA)</w:t>
            </w:r>
          </w:p>
        </w:tc>
        <w:tc>
          <w:tcPr>
            <w:tcW w:type="dxa" w:w="1471"/>
            <w:vAlign w:val="top"/>
          </w:tcPr>
          <w:p>
            <w:pPr>
              <w:pStyle w:val="Compact"/>
              <w:keepNext/>
              <w:spacing w:line="240" w:lineRule="auto" w:after="80"/>
              <w:ind w:firstLine="0"/>
              <w:jc w:val="right"/>
            </w:pPr>
            <w:r>
              <w:rPr>
                <w:rFonts w:ascii="Arial" w:hAnsi="Arial"/>
                <w:b w:val="0"/>
                <w:sz w:val="22"/>
              </w:rPr>
              <w:t xml:space="preserve">−0,0669</w:t>
            </w:r>
          </w:p>
        </w:tc>
        <w:tc>
          <w:tcPr>
            <w:tcW w:type="dxa" w:w="1056"/>
            <w:vAlign w:val="top"/>
          </w:tcPr>
          <w:p>
            <w:pPr>
              <w:pStyle w:val="Compact"/>
              <w:keepNext/>
              <w:spacing w:line="240" w:lineRule="auto" w:after="80"/>
              <w:ind w:firstLine="0"/>
              <w:jc w:val="right"/>
            </w:pPr>
            <w:r>
              <w:rPr>
                <w:rFonts w:ascii="Arial" w:hAnsi="Arial"/>
                <w:b w:val="0"/>
                <w:sz w:val="22"/>
              </w:rPr>
              <w:t xml:space="preserve">−6,5</w:t>
            </w:r>
          </w:p>
        </w:tc>
        <w:tc>
          <w:tcPr>
            <w:tcW w:type="dxa" w:w="1276"/>
            <w:vAlign w:val="top"/>
          </w:tcPr>
          <w:p>
            <w:pPr>
              <w:pStyle w:val="Compact"/>
              <w:keepNext/>
              <w:spacing w:line="240" w:lineRule="auto" w:after="80"/>
              <w:ind w:firstLine="0"/>
              <w:jc w:val="right"/>
            </w:pPr>
            <w:r>
              <w:rPr>
                <w:rFonts w:ascii="Arial" w:hAnsi="Arial"/>
                <w:b w:val="0"/>
                <w:sz w:val="22"/>
              </w:rPr>
              <w:t xml:space="preserve">39,5</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M2: + contexto do bairro (UPA)</w:t>
            </w:r>
          </w:p>
        </w:tc>
        <w:tc>
          <w:tcPr>
            <w:tcW w:type="dxa" w:w="1471"/>
            <w:vAlign w:val="top"/>
          </w:tcPr>
          <w:p>
            <w:pPr>
              <w:pStyle w:val="Compact"/>
              <w:keepNext/>
              <w:spacing w:line="240" w:lineRule="auto" w:after="80"/>
              <w:ind w:firstLine="0"/>
              <w:jc w:val="right"/>
            </w:pPr>
            <w:r>
              <w:rPr>
                <w:rFonts w:ascii="Arial" w:hAnsi="Arial"/>
                <w:b w:val="0"/>
                <w:sz w:val="22"/>
              </w:rPr>
              <w:t xml:space="preserve">−0,0637</w:t>
            </w:r>
          </w:p>
        </w:tc>
        <w:tc>
          <w:tcPr>
            <w:tcW w:type="dxa" w:w="1056"/>
            <w:vAlign w:val="top"/>
          </w:tcPr>
          <w:p>
            <w:pPr>
              <w:pStyle w:val="Compact"/>
              <w:keepNext/>
              <w:spacing w:line="240" w:lineRule="auto" w:after="80"/>
              <w:ind w:firstLine="0"/>
              <w:jc w:val="right"/>
            </w:pPr>
            <w:r>
              <w:rPr>
                <w:rFonts w:ascii="Arial" w:hAnsi="Arial"/>
                <w:b w:val="0"/>
                <w:sz w:val="22"/>
              </w:rPr>
              <w:t xml:space="preserve">−6,2</w:t>
            </w:r>
          </w:p>
        </w:tc>
        <w:tc>
          <w:tcPr>
            <w:tcW w:type="dxa" w:w="1276"/>
            <w:vAlign w:val="top"/>
          </w:tcPr>
          <w:p>
            <w:pPr>
              <w:pStyle w:val="Compact"/>
              <w:keepNext/>
              <w:spacing w:line="240" w:lineRule="auto" w:after="80"/>
              <w:ind w:firstLine="0"/>
              <w:jc w:val="right"/>
            </w:pPr>
            <w:r>
              <w:rPr>
                <w:rFonts w:ascii="Arial" w:hAnsi="Arial"/>
                <w:b w:val="0"/>
                <w:sz w:val="22"/>
              </w:rPr>
              <w:t xml:space="preserve">42,3</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M3: + efeitos fixos de UF (gap líquido)</w:t>
            </w:r>
          </w:p>
        </w:tc>
        <w:tc>
          <w:tcPr>
            <w:tcW w:type="dxa" w:w="1471"/>
            <w:vAlign w:val="top"/>
          </w:tcPr>
          <w:p>
            <w:pPr>
              <w:pStyle w:val="Compact"/>
              <w:keepNext/>
              <w:spacing w:line="240" w:lineRule="auto" w:after="80"/>
              <w:ind w:firstLine="0"/>
              <w:jc w:val="right"/>
            </w:pPr>
            <w:r>
              <w:rPr>
                <w:rFonts w:ascii="Arial" w:hAnsi="Arial"/>
                <w:b w:val="0"/>
                <w:sz w:val="22"/>
              </w:rPr>
              <w:t xml:space="preserve">−0,0629</w:t>
            </w:r>
          </w:p>
        </w:tc>
        <w:tc>
          <w:tcPr>
            <w:tcW w:type="dxa" w:w="1056"/>
            <w:vAlign w:val="top"/>
          </w:tcPr>
          <w:p>
            <w:pPr>
              <w:pStyle w:val="Compact"/>
              <w:keepNext/>
              <w:spacing w:line="240" w:lineRule="auto" w:after="80"/>
              <w:ind w:firstLine="0"/>
              <w:jc w:val="right"/>
            </w:pPr>
            <w:r>
              <w:rPr>
                <w:rFonts w:ascii="Arial" w:hAnsi="Arial"/>
                <w:b w:val="0"/>
                <w:sz w:val="22"/>
              </w:rPr>
              <w:t xml:space="preserve">−6,1</w:t>
            </w:r>
          </w:p>
        </w:tc>
        <w:tc>
          <w:tcPr>
            <w:tcW w:type="dxa" w:w="1276"/>
            <w:vAlign w:val="top"/>
          </w:tcPr>
          <w:p>
            <w:pPr>
              <w:pStyle w:val="Compact"/>
              <w:keepNext/>
              <w:spacing w:line="240" w:lineRule="auto" w:after="8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−0,0579</w:t>
            </w:r>
          </w:p>
        </w:tc>
        <w:tc>
          <w:tcPr>
            <w:tcW w:type="dxa" w:w="105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−5,6</w:t>
            </w:r>
          </w:p>
        </w:tc>
        <w:tc>
          <w:tcPr>
            <w:tcW w:type="dxa" w:w="127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47,6</w:t>
            </w:r>
          </w:p>
        </w:tc>
      </w:tr>
    </w:tbl>
    <w:bookmarkEnd w:id="5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(HLM de dois níveis, indivíduos em UPA, com efeitos fixos de UF; PNAD Contínua</w:t>
      </w:r>
      <w:r>
        <w:rPr>
          <w:rFonts w:ascii="Arial" w:hAnsi="Arial"/>
          <w:sz w:val="22"/>
        </w:rPr>
        <w:t xml:space="preserve"> </w:t>
      </w:r>
      <w:r>
        <w:rPr>
          <w:rFonts w:ascii="Arial" w:hAnsi="Arial"/>
          <w:sz w:val="22"/>
        </w:rPr>
        <w:t>2016–2025, população completa)</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é a penalidade racial em log-rendimento (mais próximo de zero = menor gap);</w:t>
      </w:r>
      <w:r>
        <w:rPr>
          <w:rFonts w:ascii="Arial" w:hAnsi="Arial"/>
          <w:sz w:val="22"/>
        </w:rPr>
        <w:t xml:space="preserve"> </w:t>
      </w:r>
      <w:r>
        <w:rPr>
          <w:rFonts w:ascii="Arial" w:hAnsi="Arial"/>
          <w:sz w:val="22"/>
        </w:rPr>
        <w:t>“Gap (%)”</w:t>
      </w:r>
      <w:r>
        <w:rPr>
          <w:rFonts w:ascii="Arial" w:hAnsi="Arial"/>
          <w:sz w:val="22"/>
        </w:rPr>
        <w:t xml:space="preserve"> </w:t>
      </w:r>
      <w:r>
        <w:rPr>
          <w:rFonts w:ascii="Arial" w:hAnsi="Arial"/>
          <w:sz w:val="22"/>
        </w:rPr>
        <w:t>é a</w:t>
      </w:r>
      <w:r>
        <w:rPr>
          <w:rFonts w:ascii="Arial" w:hAnsi="Arial"/>
          <w:sz w:val="22"/>
        </w:rPr>
        <w:t xml:space="preserve"> </w:t>
      </w:r>
      <w:r>
        <w:rPr>
          <w:rFonts w:ascii="Arial" w:hAnsi="Arial"/>
          <w:sz w:val="22"/>
        </w:rPr>
        <w:t>penalidade em % de renda;</w:t>
      </w:r>
      <w:r>
        <w:rPr>
          <w:rFonts w:ascii="Arial" w:hAnsi="Arial"/>
          <w:sz w:val="22"/>
        </w:rPr>
        <w:t xml:space="preserve"> </w:t>
      </w:r>
      <w:r>
        <w:rPr>
          <w:rFonts w:ascii="Arial" w:hAnsi="Arial"/>
          <w:sz w:val="22"/>
        </w:rPr>
        <w:t>“Mediação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w:t>
      </w:r>
      <w:r>
        <w:rPr>
          <w:rFonts w:ascii="Arial" w:hAnsi="Arial"/>
          <w:sz w:val="22"/>
        </w:rPr>
        <w:t>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3 resume a sequência de degraus em barras.</w:t>
      </w:r>
    </w:p>
    <w:bookmarkStart w:id="57" w:name="fig:hlm_gap"/>
    <w:p>
      <w:pPr>
        <w:pStyle w:val="CaptionedFigure"/>
        <w:keepNext/>
        <w:keepLines/>
      </w:pPr>
      <w:r>
        <w:rPr>
          <w:rFonts w:ascii="Arial" w:hAnsi="Arial"/>
          <w:sz w:val="22"/>
        </w:rPr>
        <w:drawing>
          <wp:inline>
            <wp:extent cx="5292852" cy="2089283"/>
            <wp:effectExtent b="0" l="0" r="0" t="0"/>
            <wp:docPr descr="" title="" id="55" name="Picture"/>
            <a:graphic>
              <a:graphicData uri="http://schemas.openxmlformats.org/drawingml/2006/picture">
                <pic:pic>
                  <pic:nvPicPr>
                    <pic:cNvPr descr="outputs/figures/fig_hlm_gap.png" id="56" name="Picture"/>
                    <pic:cNvPicPr>
                      <a:picLocks noChangeArrowheads="1" noChangeAspect="1"/>
                    </pic:cNvPicPr>
                  </pic:nvPicPr>
                  <pic:blipFill>
                    <a:blip r:embed="rId54"/>
                    <a:stretch>
                      <a:fillRect/>
                    </a:stretch>
                  </pic:blipFill>
                  <pic:spPr bwMode="auto">
                    <a:xfrm>
                      <a:off x="0" y="0"/>
                      <a:ext cx="5292852" cy="208928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de milhões);</w:t>
      </w:r>
      <w:r>
        <w:rPr>
          <w:rFonts w:ascii="Arial" w:hAnsi="Arial"/>
          <w:sz w:val="22"/>
        </w:rPr>
        <w:t xml:space="preserve"> </w:t>
      </w:r>
      <w:r>
        <w:rPr>
          <w:rFonts w:ascii="Arial" w:hAnsi="Arial"/>
          <w:sz w:val="22"/>
        </w:rPr>
        <w:t xml:space="preserve">rótulo: gap em % de renda. Em azul, o M3 (gap líquido)</w:t>
      </w:r>
    </w:p>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3: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58"/>
    <w:bookmarkStart w:id="64"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bookmarkStart w:id="59"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e Ransom, 1999) (ver o GLMM de acesso, Tabela 8).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Componente</w:t>
            </w:r>
          </w:p>
        </w:tc>
        <w:tc>
          <w:tcPr>
            <w:tcW w:type="dxa" w:w="1415"/>
            <w:vAlign w:val="top"/>
          </w:tcPr>
          <w:p>
            <w:pPr>
              <w:pStyle w:val="Compact"/>
              <w:keepNext/>
              <w:spacing w:line="240" w:lineRule="auto" w:after="80"/>
              <w:ind w:firstLine="0"/>
              <w:jc w:val="left"/>
            </w:pPr>
            <w:r>
              <w:rPr>
                <w:rFonts w:ascii="Arial" w:hAnsi="Arial"/>
                <w:b w:val="0"/>
                <w:sz w:val="20"/>
              </w:rPr>
              <w:t xml:space="preserve">log-pontos (SE)</w:t>
            </w:r>
          </w:p>
        </w:tc>
        <w:tc>
          <w:tcPr>
            <w:tcW w:type="dxa" w:w="1189"/>
            <w:vAlign w:val="top"/>
          </w:tcPr>
          <w:p>
            <w:pPr>
              <w:pStyle w:val="Compact"/>
              <w:keepNext/>
              <w:spacing w:line="240" w:lineRule="auto" w:after="80"/>
              <w:ind w:firstLine="0"/>
              <w:jc w:val="left"/>
            </w:pPr>
            <w:r>
              <w:rPr>
                <w:rFonts w:ascii="Arial" w:hAnsi="Arial"/>
                <w:b w:val="0"/>
                <w:sz w:val="20"/>
              </w:rPr>
              <w:t xml:space="preserve">% do gap</w:t>
            </w:r>
          </w:p>
        </w:tc>
        <w:tc>
          <w:tcPr>
            <w:tcW w:type="dxa" w:w="1805"/>
            <w:vAlign w:val="top"/>
          </w:tcPr>
          <w:p>
            <w:pPr>
              <w:pStyle w:val="Compact"/>
              <w:keepNext/>
              <w:spacing w:line="240" w:lineRule="auto" w:after="80"/>
              <w:ind w:firstLine="0"/>
              <w:jc w:val="left"/>
            </w:pPr>
            <w:r>
              <w:rPr>
                <w:rFonts w:ascii="Arial" w:hAnsi="Arial"/>
                <w:b w:val="0"/>
                <w:sz w:val="20"/>
              </w:rPr>
              <w:t xml:space="preserve">log-pontos (SE)</w:t>
            </w:r>
          </w:p>
        </w:tc>
        <w:tc>
          <w:tcPr>
            <w:tcW w:type="dxa" w:w="1791"/>
            <w:vAlign w:val="top"/>
          </w:tcPr>
          <w:p>
            <w:pPr>
              <w:pStyle w:val="Compact"/>
              <w:keepNext/>
              <w:spacing w:line="240" w:lineRule="auto" w:after="80"/>
              <w:ind w:firstLine="0"/>
              <w:jc w:val="left"/>
            </w:pPr>
            <w:r>
              <w:rPr>
                <w:rFonts w:ascii="Arial" w:hAnsi="Arial"/>
                <w:b w:val="0"/>
                <w:sz w:val="20"/>
              </w:rPr>
              <w:t xml:space="preserve">% do gap</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Gap total (branco − negro)</w:t>
            </w:r>
          </w:p>
        </w:tc>
        <w:tc>
          <w:tcPr>
            <w:tcW w:type="dxa" w:w="1415"/>
            <w:vAlign w:val="top"/>
          </w:tcPr>
          <w:p>
            <w:pPr>
              <w:pStyle w:val="Compact"/>
              <w:keepNext/>
              <w:spacing w:line="240" w:lineRule="auto" w:after="80"/>
              <w:ind w:firstLine="0"/>
              <w:jc w:val="right"/>
            </w:pPr>
            <w:r>
              <w:rPr>
                <w:rFonts w:ascii="Arial" w:hAnsi="Arial"/>
                <w:b w:val="0"/>
                <w:sz w:val="20"/>
              </w:rPr>
              <w:t xml:space="preserve">0,4252 (0,0033)</w:t>
            </w:r>
          </w:p>
        </w:tc>
        <w:tc>
          <w:tcPr>
            <w:tcW w:type="dxa" w:w="1189"/>
            <w:vAlign w:val="top"/>
          </w:tcPr>
          <w:p>
            <w:pPr>
              <w:pStyle w:val="Compact"/>
              <w:keepNext/>
              <w:spacing w:line="240" w:lineRule="auto" w:after="80"/>
              <w:ind w:firstLine="0"/>
              <w:jc w:val="right"/>
            </w:pPr>
            <w:r>
              <w:rPr>
                <w:rFonts w:ascii="Arial" w:hAnsi="Arial"/>
                <w:b w:val="0"/>
                <w:sz w:val="20"/>
              </w:rPr>
              <w:t xml:space="preserve">100,0</w:t>
            </w:r>
          </w:p>
        </w:tc>
        <w:tc>
          <w:tcPr>
            <w:tcW w:type="dxa" w:w="1805"/>
            <w:vAlign w:val="top"/>
          </w:tcPr>
          <w:p>
            <w:pPr>
              <w:pStyle w:val="Compact"/>
              <w:keepNext/>
              <w:spacing w:line="240" w:lineRule="auto" w:after="80"/>
              <w:ind w:firstLine="0"/>
              <w:jc w:val="right"/>
            </w:pPr>
            <w:r>
              <w:rPr>
                <w:rFonts w:ascii="Arial" w:hAnsi="Arial"/>
                <w:b w:val="0"/>
                <w:sz w:val="20"/>
              </w:rPr>
              <w:t xml:space="preserve">0,4252 (0,0032)</w:t>
            </w:r>
          </w:p>
        </w:tc>
        <w:tc>
          <w:tcPr>
            <w:tcW w:type="dxa" w:w="1791"/>
            <w:vAlign w:val="top"/>
          </w:tcPr>
          <w:p>
            <w:pPr>
              <w:pStyle w:val="Compact"/>
              <w:keepNext/>
              <w:spacing w:line="240" w:lineRule="auto" w:after="80"/>
              <w:ind w:firstLine="0"/>
              <w:jc w:val="right"/>
            </w:pPr>
            <w:r>
              <w:rPr>
                <w:rFonts w:ascii="Arial" w:hAnsi="Arial"/>
                <w:b w:val="0"/>
                <w:sz w:val="20"/>
              </w:rPr>
              <w:t xml:space="preserve">100,0</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Dotações (características observáveis)</w:t>
            </w:r>
          </w:p>
        </w:tc>
        <w:tc>
          <w:tcPr>
            <w:tcW w:type="dxa" w:w="1415"/>
            <w:vAlign w:val="top"/>
          </w:tcPr>
          <w:p>
            <w:pPr>
              <w:pStyle w:val="Compact"/>
              <w:keepNext/>
              <w:spacing w:line="240" w:lineRule="auto" w:after="80"/>
              <w:ind w:firstLine="0"/>
              <w:jc w:val="right"/>
            </w:pPr>
            <w:r>
              <w:rPr>
                <w:rFonts w:ascii="Arial" w:hAnsi="Arial"/>
                <w:b w:val="0"/>
                <w:sz w:val="20"/>
              </w:rPr>
              <w:t xml:space="preserve">0,3491 (0,0033)</w:t>
            </w:r>
          </w:p>
        </w:tc>
        <w:tc>
          <w:tcPr>
            <w:tcW w:type="dxa" w:w="1189"/>
            <w:vAlign w:val="top"/>
          </w:tcPr>
          <w:p>
            <w:pPr>
              <w:pStyle w:val="Compact"/>
              <w:keepNext/>
              <w:spacing w:line="240" w:lineRule="auto" w:after="80"/>
              <w:ind w:firstLine="0"/>
              <w:jc w:val="right"/>
            </w:pPr>
            <w:r>
              <w:rPr>
                <w:rFonts w:ascii="Arial" w:hAnsi="Arial"/>
                <w:b w:val="0"/>
                <w:sz w:val="20"/>
              </w:rPr>
              <w:t xml:space="preserve">82,1</w:t>
            </w:r>
          </w:p>
        </w:tc>
        <w:tc>
          <w:tcPr>
            <w:tcW w:type="dxa" w:w="1805"/>
            <w:vAlign w:val="top"/>
          </w:tcPr>
          <w:p>
            <w:pPr>
              <w:pStyle w:val="Compact"/>
              <w:keepNext/>
              <w:spacing w:line="240" w:lineRule="auto" w:after="80"/>
              <w:ind w:firstLine="0"/>
              <w:jc w:val="right"/>
            </w:pPr>
            <w:r>
              <w:rPr>
                <w:rFonts w:ascii="Arial" w:hAnsi="Arial"/>
                <w:b w:val="0"/>
                <w:sz w:val="20"/>
              </w:rPr>
              <w:t xml:space="preserve">0,3598 (0,0032)</w:t>
            </w:r>
          </w:p>
        </w:tc>
        <w:tc>
          <w:tcPr>
            <w:tcW w:type="dxa" w:w="1791"/>
            <w:vAlign w:val="top"/>
          </w:tcPr>
          <w:p>
            <w:pPr>
              <w:pStyle w:val="Compact"/>
              <w:keepNext/>
              <w:spacing w:line="240" w:lineRule="auto" w:after="8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0,0761 (0,0012)</w:t>
            </w:r>
          </w:p>
        </w:tc>
        <w:tc>
          <w:tcPr>
            <w:tcW w:type="dxa" w:w="1189"/>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17,9</w:t>
            </w:r>
          </w:p>
        </w:tc>
        <w:tc>
          <w:tcPr>
            <w:tcW w:type="dxa" w:w="180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0,0654 (0,0011)</w:t>
            </w:r>
          </w:p>
        </w:tc>
        <w:tc>
          <w:tcPr>
            <w:tcW w:type="dxa" w:w="179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15,4</w:t>
            </w:r>
          </w:p>
        </w:tc>
      </w:tr>
    </w:tbl>
    <w:bookmarkEnd w:id="5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(A) </w:t>
      </w:r>
      <w:r>
        <w:rPr>
          <w:rFonts w:ascii="Arial" w:hAnsi="Arial"/>
          <w:sz w:val="22"/>
        </w:rPr>
        <w:t>Capital humano +</w:t>
      </w:r>
      <w:r>
        <w:rPr>
          <w:rFonts w:ascii="Arial" w:hAnsi="Arial"/>
          <w:sz w:val="22"/>
        </w:rPr>
        <w:t xml:space="preserve"> </w:t>
      </w:r>
      <w:r>
        <w:rPr>
          <w:rFonts w:ascii="Arial" w:hAnsi="Arial"/>
          <w:sz w:val="22"/>
        </w:rPr>
        <w:t>contexto</w:t>
      </w:r>
      <w:r>
        <w:rPr>
          <w:rFonts w:ascii="Arial" w:hAnsi="Arial"/>
          <w:sz w:val="22"/>
        </w:rPr>
        <w:t>: escolaridade, idade, sexo, jornada, área urbana, contexto de UPA e efeitos fixos</w:t>
      </w:r>
      <w:r>
        <w:rPr>
          <w:rFonts w:ascii="Arial" w:hAnsi="Arial"/>
          <w:sz w:val="22"/>
        </w:rPr>
        <w:t xml:space="preserve"> </w:t>
      </w:r>
      <w:r>
        <w:rPr>
          <w:rFonts w:ascii="Arial" w:hAnsi="Arial"/>
          <w:sz w:val="22"/>
        </w:rPr>
        <w:t>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Acesso</w:t>
      </w:r>
      <w:r>
        <w:rPr>
          <w:rFonts w:ascii="Arial" w:hAnsi="Arial"/>
          <w:sz w:val="22"/>
        </w:rPr>
        <w:t>: (A) + formalidade e grupo CBO tratados como dotações (os controles do M4) — a parcela não explicada é a discriminação</w:t>
      </w:r>
      <w:r>
        <w:rPr>
          <w:rFonts w:ascii="Arial" w:hAnsi="Arial"/>
          <w:sz w:val="22"/>
        </w:rPr>
        <w:t xml:space="preserve"> </w:t>
      </w:r>
      <w:r>
        <w:rPr>
          <w:rFonts w:ascii="Arial" w:hAnsi="Arial"/>
          <w:sz w:val="22"/>
        </w:rPr>
        <w:t>dentro</w:t>
      </w:r>
      <w:r>
        <w:rPr>
          <w:rFonts w:ascii="Arial" w:hAnsi="Arial"/>
          <w:sz w:val="22"/>
        </w:rPr>
        <w:t xml:space="preserve"> </w:t>
      </w:r>
      <w:r>
        <w:rPr>
          <w:rFonts w:ascii="Arial" w:hAnsi="Arial"/>
          <w:sz w:val="22"/>
        </w:rPr>
        <w:t>da ocupação, um limite inferior, pois a segregação ocupacional é ela própria</w:t>
      </w:r>
      <w:r>
        <w:rPr>
          <w:rFonts w:ascii="Arial" w:hAnsi="Arial"/>
          <w:sz w:val="22"/>
        </w:rPr>
        <w:t xml:space="preserve"> </w:t>
      </w:r>
      <w:r>
        <w:rPr>
          <w:rFonts w:ascii="Arial" w:hAnsi="Arial"/>
          <w:sz w:val="22"/>
        </w:rPr>
        <w:t>discriminatória</w:t>
      </w:r>
      <w:r>
        <w:rPr>
          <w:rFonts w:ascii="Arial" w:hAnsi="Arial"/>
          <w:sz w:val="22"/>
        </w:rPr>
        <w:t xml:space="preserve"> </w:t>
      </w:r>
      <w:r>
        <w:rPr>
          <w:rFonts w:ascii="Arial" w:hAnsi="Arial"/>
          <w:sz w:val="22"/>
        </w:rPr>
        <w:t>(Oaxaca e Ransom, 1999)</w:t>
      </w:r>
      <w:r>
        <w:rPr>
          <w:rFonts w:ascii="Arial" w:hAnsi="Arial"/>
          <w:sz w:val="22"/>
        </w:rPr>
        <w:t xml:space="preserve"> </w:t>
      </w:r>
      <w:r>
        <w:rPr>
          <w:rFonts w:ascii="Arial" w:hAnsi="Arial"/>
          <w:sz w:val="22"/>
        </w:rPr>
        <w:t>(ver o GLMM de acesso, Tabela 8).</w:t>
      </w:r>
      <w:r>
        <w:rPr>
          <w:rFonts w:ascii="Arial" w:hAnsi="Arial"/>
          <w:sz w:val="22"/>
        </w:rPr>
        <w:t xml:space="preserve"> </w:t>
      </w:r>
      <w:r>
        <w:rPr>
          <w:rFonts w:ascii="Arial" w:hAnsi="Arial"/>
          <w:sz w:val="22"/>
        </w:rPr>
        <w:t>População completa da PEA com renda positiva (</w:t>
      </w:r>
      <m:oMath>
        <m:r>
          <m:t>N</m:t>
        </m:r>
        <m:r>
          <m:rPr>
            <m:sty m:val="p"/>
          </m:rPr>
          <m:t>=</m:t>
        </m:r>
        <m:r>
          <m:t>7.699</m:t>
        </m:r>
        <m:r>
          <m:t>.278</m:t>
        </m:r>
      </m:oMath>
      <w:r>
        <w:rPr>
          <w:rFonts w:ascii="Arial" w:hAnsi="Arial"/>
          <w:sz w:val="22"/>
        </w:rPr>
        <w:t>; 41.459 UPAs).</w:t>
      </w:r>
      <w:r>
        <w:rPr>
          <w:rFonts w:ascii="Arial" w:hAnsi="Arial"/>
          <w:sz w:val="22"/>
        </w:rPr>
        <w:t xml:space="preserve"> </w:t>
      </w:r>
      <w:r>
        <w:rPr>
          <w:rFonts w:ascii="Arial" w:hAnsi="Arial"/>
          <w:sz w:val="22"/>
        </w:rPr>
        <w:t>Erros-padrão entre parênteses: bootstrap em blocos por UPA (500 réplicas)</w:t>
      </w:r>
      <w:r>
        <w:rPr>
          <w:rFonts w:ascii="Arial" w:hAnsi="Arial"/>
          <w:sz w:val="22"/>
        </w:rPr>
        <w:t xml:space="preserve"/>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e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e Pischke, 2009)</w:t>
      </w:r>
      <w:r>
        <w:rPr>
          <w:rFonts w:ascii="Arial" w:hAnsi="Arial"/>
          <w:sz w:val="22"/>
        </w:rPr>
        <w:t xml:space="preserve">.</w:t>
      </w:r>
    </w:p>
    <w:p>
      <w:pPr>
        <w:pStyle w:val="BodyText"/>
        <w:spacing w:line="360" w:lineRule="auto" w:after="0"/>
        <w:ind w:firstLine="709"/>
        <w:jc w:val="both"/>
      </w:pPr>
      <w:r>
        <w:rPr>
          <w:rFonts w:ascii="Arial" w:hAnsi="Arial"/>
          <w:sz w:val="22"/>
        </w:rPr>
        <w:t xml:space="preserve">A Figura 4 apresenta as duas especificações em forma de cascata.</w:t>
      </w:r>
    </w:p>
    <w:bookmarkStart w:id="63" w:name="fig:ob_cascata"/>
    <w:p>
      <w:pPr>
        <w:pStyle w:val="CaptionedFigure"/>
        <w:keepNext/>
        <w:keepLines/>
      </w:pPr>
      <w:r>
        <w:rPr>
          <w:rFonts w:ascii="Arial" w:hAnsi="Arial"/>
          <w:sz w:val="22"/>
        </w:rPr>
        <w:drawing>
          <wp:inline>
            <wp:extent cx="5465445" cy="1713149"/>
            <wp:effectExtent b="0" l="0" r="0" t="0"/>
            <wp:docPr descr="" title="" id="61" name="Picture"/>
            <a:graphic>
              <a:graphicData uri="http://schemas.openxmlformats.org/drawingml/2006/picture">
                <pic:pic>
                  <pic:nvPicPr>
                    <pic:cNvPr descr="outputs/figures/fig_ob_cascata.png" id="62" name="Picture"/>
                    <pic:cNvPicPr>
                      <a:picLocks noChangeArrowheads="1" noChangeAspect="1"/>
                    </pic:cNvPicPr>
                  </pic:nvPicPr>
                  <pic:blipFill>
                    <a:blip r:embed="rId60"/>
                    <a:stretch>
                      <a:fillRect/>
                    </a:stretch>
                  </pic:blipFill>
                  <pic:spPr bwMode="auto">
                    <a:xfrm>
                      <a:off x="0" y="0"/>
                      <a:ext cx="5465445" cy="171314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opera na porta de entrada das ocupações — medida diretamente pelo modelo de acesso. O painel A traz a especificação A, sem ocupação; o painel B, a especificação B, com ocupação e vínculo</w:t>
      </w:r>
    </w:p>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4: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4"/>
    <w:bookmarkStart w:id="76"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A decomposição mostrou que parte do diferencial opera na entrada das ocupações; o modelo de acesso mede essa porta diretamente.</w:t>
      </w:r>
      <w:r>
        <w:rPr>
          <w:rFonts w:ascii="Arial" w:hAnsi="Arial"/>
          <w:sz w:val="22"/>
        </w:rPr>
        <w:t xml:space="preserve"> </w:t>
      </w:r>
      <w:bookmarkStart w:id="65" w:name="subsec:glmm_resultados"/>
      <w:bookmarkEnd w:id="65"/>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de UF; o ajuste e a classificação de cada degrau estão na Tabela 7.</w:t>
      </w:r>
      <w:r>
        <w:rPr>
          <w:rStyle w:val="FootnoteReference"/>
          <w:rFonts w:ascii="Arial" w:hAnsi="Arial"/>
          <w:sz w:val="22"/>
          <w:vertAlign w:val="superscript"/>
        </w:rPr>
        <w:footnoteReference w:id="66"/>
      </w:r>
    </w:p>
    <w:bookmarkStart w:id="67" w:name="tab:glmm_ajuste"/>
    <w:p>
      <w:pPr>
        <w:pStyle w:val="TableCaption"/>
        <w:keepNext/>
        <w:keepLines/>
        <w:spacing w:line="240" w:lineRule="auto" w:before="240" w:after="40"/>
        <w:ind w:firstLine="0"/>
        <w:jc w:val="both"/>
      </w:pPr>
      <w:r>
        <w:rPr>
          <w:rFonts w:ascii="Arial" w:hAnsi="Arial"/>
          <w:sz w:val="22"/>
        </w:rPr>
        <w:t xml:space="preserve">Tabela 7. GLMM logístico — ajuste e desempenho de classificação por degrau</w:t>
      </w:r>
    </w:p>
    <w:tbl>
      <w:tblPr>
        <w:tblStyle w:val="Table"/>
        <w:tblW w:type="auto" w:w="0"/>
        <w:tblLayout w:type="fixed"/>
        <w:tblLook w:firstRow="1" w:lastRow="0" w:firstColumn="0" w:lastColumn="0" w:noHBand="0" w:noVBand="0" w:val="0020"/>
        <w:tblCaption w:val="Tabela 7.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dez decis. Modelos A1–A4 como na Tabela 8.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AUC com efeitos aleatórios (ajuste na amostra) e só com efeitos fixos;</w:t>
      </w:r>
      <w:r>
        <w:rPr>
          <w:rFonts w:ascii="Arial" w:hAnsi="Arial"/>
          <w:sz w:val="22"/>
        </w:rPr>
        <w:t xml:space="preserve"> </w:t>
      </w:r>
      <w:r>
        <w:rPr>
          <w:rFonts w:ascii="Arial" w:hAnsi="Arial"/>
          <w:sz w:val="22"/>
        </w:rPr>
        <w:t>cutoff</w:t>
      </w:r>
      <w:r>
        <w:rPr>
          <w:rFonts w:ascii="Arial" w:hAnsi="Arial"/>
          <w:sz w:val="22"/>
        </w:rPr>
        <w:t xml:space="preserve"> </w:t>
      </w:r>
      <w:r>
        <w:rPr>
          <w:rFonts w:ascii="Arial" w:hAnsi="Arial"/>
          <w:sz w:val="22"/>
        </w:rPr>
        <w:t>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dez decis. Modelos A1–A4 como na Tabela 8</w:t>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68"/>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69"/>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e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5 reúne as razões</w:t>
      </w:r>
      <w:r>
        <w:rPr>
          <w:rFonts w:ascii="Arial" w:hAnsi="Arial"/>
          <w:sz w:val="22"/>
        </w:rPr>
        <w:t xml:space="preserve"> </w:t>
      </w:r>
      <w:r>
        <w:rPr>
          <w:rFonts w:ascii="Arial" w:hAnsi="Arial"/>
          <w:sz w:val="22"/>
        </w:rPr>
        <w:t xml:space="preserve">de chance dos três desfechos e dos modelos de cada um.</w:t>
      </w:r>
    </w:p>
    <w:bookmarkStart w:id="73" w:name="fig:glmm_or"/>
    <w:p>
      <w:pPr>
        <w:pStyle w:val="CaptionedFigure"/>
        <w:keepNext/>
        <w:keepLines/>
      </w:pPr>
      <w:r>
        <w:rPr>
          <w:rFonts w:ascii="Arial" w:hAnsi="Arial"/>
          <w:sz w:val="22"/>
        </w:rPr>
        <w:drawing>
          <wp:inline>
            <wp:extent cx="5465445" cy="1993096"/>
            <wp:effectExtent b="0" l="0" r="0" t="0"/>
            <wp:docPr descr="" title="" id="71" name="Picture"/>
            <a:graphic>
              <a:graphicData uri="http://schemas.openxmlformats.org/drawingml/2006/picture">
                <pic:pic>
                  <pic:nvPicPr>
                    <pic:cNvPr descr="outputs/figures/fig_glmm_or.png" id="72" name="Picture"/>
                    <pic:cNvPicPr>
                      <a:picLocks noChangeArrowheads="1" noChangeAspect="1"/>
                    </pic:cNvPicPr>
                  </pic:nvPicPr>
                  <pic:blipFill>
                    <a:blip r:embed="rId70"/>
                    <a:stretch>
                      <a:fillRect/>
                    </a:stretch>
                  </pic:blipFill>
                  <pic:spPr bwMode="auto">
                    <a:xfrm>
                      <a:off x="0" y="0"/>
                      <a:ext cx="5465445" cy="1993096"/>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IC 95%, por desfecho e degrau; em azul, o modelo com contexto de bairro (A2)</w:t>
      </w:r>
    </w:p>
    <w:bookmarkEnd w:id="7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5: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4"/>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Tabela 8)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5" w:name="tab:glmm_glassceil"/>
    <w:p>
      <w:pPr>
        <w:pStyle w:val="TableCaption"/>
        <w:keepNext/>
        <w:keepLines/>
        <w:spacing w:line="240" w:lineRule="auto" w:before="240" w:after="40"/>
        <w:ind w:firstLine="0"/>
        <w:jc w:val="both"/>
      </w:pPr>
      <w:r>
        <w:rPr>
          <w:rFonts w:ascii="Arial" w:hAnsi="Arial"/>
          <w:sz w:val="22"/>
        </w:rPr>
        <w:t xml:space="preserve">Tabela 8.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p>
    <w:tbl>
      <w:tblPr>
        <w:tblStyle w:val="Table"/>
        <w:tblW w:type="auto" w:w="0"/>
        <w:tblLayout w:type="fixed"/>
        <w:tblLook w:firstRow="1" w:lastRow="0" w:firstColumn="0" w:lastColumn="0" w:noHBand="0" w:noVBand="0" w:val="0020"/>
        <w:tblCaption w:val="Tabela 8.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Odds ratio</w:t>
      </w:r>
      <w:r>
        <w:rPr>
          <w:rFonts w:ascii="Arial" w:hAnsi="Arial"/>
          <w:sz w:val="22"/>
        </w:rPr>
        <w:t xml:space="preserve"> </w:t>
      </w:r>
      <w:r>
        <w:rPr>
          <w:rFonts w:ascii="Arial" w:hAnsi="Arial"/>
          <w:sz w:val="22"/>
        </w:rPr>
        <w:t>do coeficiente</w:t>
      </w:r>
      <w:r>
        <w:rPr>
          <w:rFonts w:ascii="Arial" w:hAnsi="Arial"/>
          <w:sz w:val="22"/>
        </w:rPr>
        <w:t xml:space="preserve"> </w:t>
      </w:r>
      <w:r>
        <w:rPr>
          <w:rStyle w:val="VerbatimChar"/>
          <w:rFonts w:ascii="Arial" w:hAnsi="Arial"/>
          <w:sz w:val="22"/>
        </w:rPr>
        <w:t>negro</w:t>
      </w:r>
      <w:r>
        <w:rPr>
          <w:rFonts w:ascii="Arial" w:hAnsi="Arial"/>
          <w:sz w:val="22"/>
        </w:rPr>
        <w:t xml:space="preserve"> </w:t>
      </w:r>
      <w:r>
        <w:rPr>
          <w:rFonts w:ascii="Arial" w:hAnsi="Arial"/>
          <w:sz w:val="22"/>
        </w:rPr>
        <w:t>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e E-value</w:t>
      </w:r>
      <w:r>
        <w:rPr>
          <w:rFonts w:ascii="Arial" w:hAnsi="Arial"/>
          <w:sz w:val="22"/>
        </w:rPr>
        <w:t xml:space="preserve"> </w:t>
      </w:r>
      <w:r>
        <w:rPr>
          <w:rFonts w:ascii="Arial" w:hAnsi="Arial"/>
          <w:sz w:val="22"/>
        </w:rPr>
        <w:t>(VanderWeele e Ding, 2017)</w:t>
      </w:r>
      <w:r>
        <w:rPr>
          <w:rFonts w:ascii="Arial" w:hAnsi="Arial"/>
          <w:sz w:val="22"/>
        </w:rPr>
        <w:t>.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w:t>
      </w:r>
      <w:r>
        <w:rPr>
          <w:rFonts w:ascii="Arial" w:hAnsi="Arial"/>
          <w:sz w:val="22"/>
        </w:rPr>
        <w:t>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menor chance de acesso para trabalhadores negros do que para brancos de mesmo perfil</w:t>
      </w:r>
      <w:r>
        <w:rPr>
          <w:rFonts w:ascii="Arial" w:hAnsi="Arial"/>
          <w:sz w:val="22"/>
        </w:rPr>
        <w:t xml:space="preserve"> </w:t>
      </w:r>
      <w:r>
        <w:rPr>
          <w:rFonts w:ascii="Arial" w:hAnsi="Arial"/>
          <w:sz w:val="22"/>
        </w:rPr>
        <w:t>e do mesmo bairro</w:t>
      </w:r>
      <w:r>
        <w:rPr>
          <w:rFonts w:ascii="Arial" w:hAnsi="Arial"/>
          <w:sz w:val="22"/>
        </w:rPr>
        <w:t>;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e</w:t>
      </w:r>
      <w:r>
        <w:rPr>
          <w:rFonts w:ascii="Arial" w:hAnsi="Arial"/>
          <w:sz w:val="22"/>
        </w:rPr>
        <w:t xml:space="preserve"> </w:t>
      </w:r>
      <w:r>
        <w:rPr>
          <w:rFonts w:ascii="Arial" w:hAnsi="Arial"/>
          <w:sz w:val="22"/>
        </w:rPr>
        <w:t xml:space="preserve">com o desfecho para anular o OR; o E-value (IC) faz o mesmo para o limite do intervalo</w:t>
      </w:r>
    </w:p>
    <w:bookmarkEnd w:id="76"/>
    <w:bookmarkStart w:id="84"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77" w:name="subsec:qr_rif"/>
      <w:bookmarkEnd w:id="77"/>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10</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pessoas de mesmo perfil); a</w:t>
      </w:r>
      <w:r>
        <w:rPr>
          <w:rFonts w:ascii="Arial" w:hAnsi="Arial"/>
          <w:sz w:val="22"/>
        </w:rPr>
        <w:t xml:space="preserve"> </w:t>
      </w:r>
      <w:r>
        <w:rPr>
          <w:rFonts w:ascii="Arial" w:hAnsi="Arial"/>
          <w:sz w:val="22"/>
        </w:rPr>
        <w:t xml:space="preserve">Tabela 9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9,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bookmarkStart w:id="78" w:name="tab:rif_ob"/>
    <w:p>
      <w:pPr>
        <w:pStyle w:val="TableCaption"/>
        <w:keepNext/>
        <w:keepLines/>
        <w:spacing w:line="240" w:lineRule="auto" w:before="240" w:after="40"/>
        <w:ind w:firstLine="0"/>
        <w:jc w:val="both"/>
      </w:pPr>
      <w:r>
        <w:rPr>
          <w:rFonts w:ascii="Arial" w:hAnsi="Arial"/>
          <w:sz w:val="22"/>
        </w:rPr>
        <w:t xml:space="preserve">Tabela 9. Decomposição RIF-OB</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r>
    </w:p>
    <w:tbl>
      <w:tblPr>
        <w:tblStyle w:val="Table"/>
        <w:tblW w:type="auto" w:w="0"/>
        <w:tblLayout w:type="fixed"/>
        <w:tblLook w:firstRow="1" w:lastRow="0" w:firstColumn="0" w:lastColumn="0" w:noHBand="0" w:noVBand="0" w:val="0020"/>
        <w:tblCaption w:val="Tabela 9. Decomposição RIF-OB (Firpo et al.,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(Referência: estrutura de preços</w:t>
      </w:r>
      <w:r>
        <w:rPr>
          <w:rFonts w:ascii="Arial" w:hAnsi="Arial"/>
          <w:sz w:val="22"/>
        </w:rPr>
        <w:t xml:space="preserve"> </w:t>
      </w:r>
      <w:r>
        <w:rPr>
          <w:rFonts w:ascii="Arial" w:hAnsi="Arial"/>
          <w:sz w:val="22"/>
        </w:rPr>
        <w:t>dos brancos)</w:t>
      </w:r>
      <w:r>
        <w:rPr>
          <w:rFonts w:ascii="Arial" w:hAnsi="Arial"/>
          <w:sz w:val="22"/>
        </w:rPr>
        <w:t xml:space="preserve">. </w:t>
      </w:r>
      <w:r>
        <w:rPr>
          <w:rFonts w:ascii="Arial" w:hAnsi="Arial"/>
          <w:sz w:val="22"/>
        </w:rPr>
        <w:t>Mesmos controles da decomposição de Oaxaca–Blinder sem ocupação (escolaridade,</w:t>
      </w:r>
      <w:r>
        <w:rPr>
          <w:rFonts w:ascii="Arial" w:hAnsi="Arial"/>
          <w:sz w:val="22"/>
        </w:rPr>
        <w:t xml:space="preserve"> </w:t>
      </w:r>
      <w:r>
        <w:rPr>
          <w:rFonts w:ascii="Arial" w:hAnsi="Arial"/>
          <w:sz w:val="22"/>
        </w:rPr>
        <w:t>idade, sexo, jornada, área urbana, ano e contexto do bairro), mais efeitos fixos de UF; a ocupação</w:t>
      </w:r>
      <w:r>
        <w:rPr>
          <w:rFonts w:ascii="Arial" w:hAnsi="Arial"/>
          <w:sz w:val="22"/>
        </w:rPr>
        <w:t xml:space="preserve"> </w:t>
      </w:r>
      <w:r>
        <w:rPr>
          <w:rFonts w:ascii="Arial" w:hAnsi="Arial"/>
          <w:sz w:val="22"/>
        </w:rPr>
        <w:t>não</w:t>
      </w:r>
      <w:r>
        <w:rPr>
          <w:rFonts w:ascii="Arial" w:hAnsi="Arial"/>
          <w:sz w:val="22"/>
        </w:rPr>
        <w:t xml:space="preserve"> </w:t>
      </w:r>
      <w:r>
        <w:rPr>
          <w:rFonts w:ascii="Arial" w:hAnsi="Arial"/>
          <w:sz w:val="22"/>
        </w:rPr>
        <w:t>entra.</w:t>
      </w:r>
      <w:r>
        <w:rPr>
          <w:rFonts w:ascii="Arial" w:hAnsi="Arial"/>
          <w:sz w:val="22"/>
        </w:rPr>
        <w:t xml:space="preserve"> </w:t>
      </w:r>
      <w:r>
        <w:rPr>
          <w:rFonts w:ascii="Arial" w:hAnsi="Arial"/>
          <w:sz w:val="22"/>
        </w:rPr>
        <w:t>Dotações: diferença de características observáveis. Retornos: parcela não explicada, que</w:t>
      </w:r>
      <w:r>
        <w:rPr>
          <w:rFonts w:ascii="Arial" w:hAnsi="Arial"/>
          <w:sz w:val="22"/>
        </w:rPr>
        <w:t xml:space="preserve"> </w:t>
      </w:r>
      <w:r>
        <w:rPr>
          <w:rFonts w:ascii="Arial" w:hAnsi="Arial"/>
          <w:sz w:val="22"/>
        </w:rPr>
        <w:t>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do gap RIF</w:t>
      </w:r>
      <w:r>
        <w:rPr>
          <w:rFonts w:ascii="Arial" w:hAnsi="Arial"/>
          <w:sz w:val="22"/>
        </w:rPr>
        <w:t xml:space="preserve"> </w:t>
      </w:r>
      <w:r>
        <w:rPr>
          <w:rFonts w:ascii="Arial" w:hAnsi="Arial"/>
          <w:sz w:val="22"/>
        </w:rPr>
        <w:t>— que é o gap decomposto pelo</w:t>
      </w:r>
      <w:r>
        <w:rPr>
          <w:rFonts w:ascii="Arial" w:hAnsi="Arial"/>
          <w:sz w:val="22"/>
        </w:rPr>
        <w:t xml:space="preserve"> </w:t>
      </w:r>
      <w:r>
        <w:rPr>
          <w:rFonts w:ascii="Arial" w:hAnsi="Arial"/>
          <w:sz w:val="22"/>
        </w:rPr>
        <w:t>método e difere do gap observado da segunda coluna; as porcentagens</w:t>
      </w:r>
      <w:r>
        <w:rPr>
          <w:rFonts w:ascii="Arial" w:hAnsi="Arial"/>
          <w:sz w:val="22"/>
        </w:rPr>
        <w:t xml:space="preserve"> </w:t>
      </w:r>
      <w:r>
        <w:rPr>
          <w:rFonts w:ascii="Arial" w:hAnsi="Arial"/>
          <w:sz w:val="22"/>
        </w:rPr>
        <w:t xml:space="preserve">são fração daquele, não deste. </w:t>
      </w:r>
      <w:r>
        <w:rPr>
          <w:rFonts w:ascii="Arial" w:hAnsi="Arial"/>
          <w:sz w:val="22"/>
        </w:rPr>
        <w:t>PNAD Contínua 2016–2025,</w:t>
      </w:r>
      <w:r>
        <w:rPr>
          <w:rFonts w:ascii="Arial" w:hAnsi="Arial"/>
          <w:sz w:val="22"/>
        </w:rPr>
        <w:t xml:space="preserve"> </w:t>
      </w:r>
      <w:r>
        <w:rPr>
          <w:rFonts w:ascii="Arial" w:hAnsi="Arial"/>
          <w:sz w:val="22"/>
        </w:rPr>
        <w:t>população completa. Entre parênteses: erro-padrão por bootstrap em blocos por UPA</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As colunas por sexo da Tabela 10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bookmarkStart w:id="79" w:name="tab:qr_melhorias"/>
    <w:p>
      <w:pPr>
        <w:pStyle w:val="TableCaption"/>
        <w:keepNext/>
        <w:keepLines/>
        <w:spacing w:line="240" w:lineRule="auto" w:before="240" w:after="40"/>
        <w:ind w:firstLine="0"/>
        <w:jc w:val="both"/>
      </w:pPr>
      <w:r>
        <w:rPr>
          <w:rFonts w:ascii="Arial" w:hAnsi="Arial"/>
          <w:sz w:val="22"/>
        </w:rPr>
        <w:t xml:space="preserve">Tabela 10.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p>
    <w:tbl>
      <w:tblPr>
        <w:tblStyle w:val="Table"/>
        <w:tblW w:type="auto" w:w="0"/>
        <w:tblLayout w:type="fixed"/>
        <w:tblLook w:firstRow="0" w:lastRow="0" w:firstColumn="0" w:lastColumn="0" w:noHBand="0" w:noVBand="0" w:val="0000"/>
        <w:tblCaption w:val="Tabela 10.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7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e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et al.,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p>
      <w:pPr>
        <w:pStyle w:val="BodyText"/>
        <w:spacing w:line="360" w:lineRule="auto" w:after="0"/>
        <w:ind w:firstLine="709"/>
        <w:jc w:val="both"/>
      </w:pPr>
      <w:r>
        <w:rPr>
          <w:rFonts w:ascii="Arial" w:hAnsi="Arial"/>
          <w:sz w:val="22"/>
        </w:rPr>
        <w:t xml:space="preserve">A Figura 6 põe os dois ângulos lado a lado.</w:t>
      </w:r>
    </w:p>
    <w:bookmarkStart w:id="83" w:name="fig:qr_rif"/>
    <w:p>
      <w:pPr>
        <w:pStyle w:val="CaptionedFigure"/>
        <w:keepNext/>
        <w:keepLines/>
      </w:pPr>
      <w:r>
        <w:rPr>
          <w:rFonts w:ascii="Arial" w:hAnsi="Arial"/>
          <w:sz w:val="22"/>
        </w:rPr>
        <w:drawing>
          <wp:inline>
            <wp:extent cx="5638038" cy="1633018"/>
            <wp:effectExtent b="0" l="0" r="0" t="0"/>
            <wp:docPr descr="" title="" id="81" name="Picture"/>
            <a:graphic>
              <a:graphicData uri="http://schemas.openxmlformats.org/drawingml/2006/picture">
                <pic:pic>
                  <pic:nvPicPr>
                    <pic:cNvPr descr="outputs/figures/fig_qr_rif.png" id="82" name="Picture"/>
                    <pic:cNvPicPr>
                      <a:picLocks noChangeArrowheads="1" noChangeAspect="1"/>
                    </pic:cNvPicPr>
                  </pic:nvPicPr>
                  <pic:blipFill>
                    <a:blip r:embed="rId80"/>
                    <a:stretch>
                      <a:fillRect/>
                    </a:stretch>
                  </pic:blipFill>
                  <pic:spPr bwMode="auto">
                    <a:xfrm>
                      <a:off x="0" y="0"/>
                      <a:ext cx="5638038" cy="1633018"/>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por bootstrap em blocos de UPA); no painel B,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6: no painel 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No painel B,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4"/>
    <w:bookmarkStart w:id="93"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Até aqui, raça foi tratada como um eixo só; a última etapa pergunta quem está na interseção.</w:t>
      </w:r>
      <w:r>
        <w:rPr>
          <w:rFonts w:ascii="Arial" w:hAnsi="Arial"/>
          <w:sz w:val="22"/>
        </w:rPr>
        <w:t xml:space="preserve"> </w:t>
      </w:r>
      <w:bookmarkStart w:id="85" w:name="subsec:interseccional"/>
      <w:bookmarkEnd w:id="85"/>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86"/>
      </w:r>
      <w:r>
        <w:rPr>
          <w:rFonts w:ascii="Arial" w:hAnsi="Arial"/>
          <w:sz w:val="22"/>
        </w:rPr>
        <w:t xml:space="preserve"> </w:t>
      </w:r>
      <w:r>
        <w:rPr>
          <w:rFonts w:ascii="Arial" w:hAnsi="Arial"/>
          <w:sz w:val="22"/>
        </w:rPr>
        <w:t xml:space="preserve">A Tabela 11 traz a decomposição de Oaxaca–Blinder dos quatro grupos contra o homem branco, e a Figura 7, as razões de chance nos três desfechos.</w:t>
      </w:r>
    </w:p>
    <w:bookmarkStart w:id="87"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Dotações: parcela explicada por</w:t>
      </w:r>
      <w:r>
        <w:rPr>
          <w:rFonts w:ascii="Arial" w:hAnsi="Arial"/>
          <w:sz w:val="22"/>
        </w:rPr>
        <w:t xml:space="preserve"> </w:t>
      </w:r>
      <w:r>
        <w:rPr>
          <w:rFonts w:ascii="Arial" w:hAnsi="Arial"/>
          <w:sz w:val="22"/>
        </w:rPr>
        <w:t>características observáveis; Retornos: parcela não explicada (discriminação). Gap (log):</w:t>
      </w:r>
      <w:r>
        <w:rPr>
          <w:rFonts w:ascii="Arial" w:hAnsi="Arial"/>
          <w:sz w:val="22"/>
        </w:rPr>
        <w:t xml:space="preserve"> </w:t>
      </w:r>
      <w:r>
        <w:rPr>
          <w:rFonts w:ascii="Arial" w:hAnsi="Arial"/>
          <w:sz w:val="22"/>
        </w:rPr>
        <w:t>a mesma desvantagem em log-pontos, a escala em que os efeitos de raça e de gênero se somam</w:t>
      </w:r>
      <w:r>
        <w:rPr>
          <w:rFonts w:ascii="Arial" w:hAnsi="Arial"/>
          <w:sz w:val="22"/>
        </w:rPr>
        <w:t xml:space="preserve"> </w:t>
      </w:r>
      <w:r>
        <w:rPr>
          <w:rFonts w:ascii="Arial" w:hAnsi="Arial"/>
          <w:sz w:val="22"/>
        </w:rPr>
        <w:t>(Crenshaw, 1989)</w:t>
      </w:r>
      <w:r>
        <w:rPr>
          <w:rFonts w:ascii="Arial" w:hAnsi="Arial"/>
          <w:sz w:val="22"/>
        </w:rPr>
        <w:t>. PNAD Contínua, população completa</w:t>
      </w:r>
      <w:r>
        <w:rPr>
          <w:rFonts w:ascii="Arial" w:hAnsi="Arial"/>
          <w:sz w:val="22"/>
        </w:rPr>
        <w:t xml:space="preserve"> </w:t>
      </w:r>
      <w:r>
        <w:rPr>
          <w:rFonts w:ascii="Arial" w:hAnsi="Arial"/>
          <w:sz w:val="22"/>
        </w:rPr>
        <w:t>(</w:t>
      </w:r>
      <m:oMath>
        <m:r>
          <m:t>N</m:t>
        </m:r>
      </m:oMath>
      <w:r>
        <w:rPr>
          <w:rFonts w:ascii="Arial" w:hAnsi="Arial"/>
          <w:sz w:val="22"/>
        </w:rPr>
        <w:t xml:space="preserve"> </w:t>
      </w:r>
      <w:r>
        <w:rPr>
          <w:rFonts w:ascii="Arial" w:hAnsi="Arial"/>
          <w:sz w:val="22"/>
        </w:rPr>
        <w:t>do grupo de referência — homens brancos — na última linha da nota). Entre</w:t>
      </w:r>
      <w:r>
        <w:rPr>
          <w:rFonts w:ascii="Arial" w:hAnsi="Arial"/>
          <w:sz w:val="22"/>
        </w:rPr>
        <w:t xml:space="preserve"> </w:t>
      </w:r>
      <w:r>
        <w:rPr>
          <w:rFonts w:ascii="Arial" w:hAnsi="Arial"/>
          <w:sz w:val="22"/>
        </w:rPr>
        <w:t>parênteses: erro-padrão por bootstrap em blocos por UPA</w:t>
      </w:r>
      <w:r>
        <w:rPr>
          <w:rFonts w:ascii="Arial" w:hAnsi="Arial"/>
          <w:sz w:val="22"/>
        </w:rPr>
        <w:t xml:space="preserve">. </w:t>
      </w:r>
      <w:r>
        <w:rPr>
          <w:rFonts w:ascii="Arial" w:hAnsi="Arial"/>
          <w:sz w:val="22"/>
        </w:rPr>
      </w:r>
      <w:r>
        <w:rPr>
          <w:rFonts w:ascii="Arial" w:hAnsi="Arial"/>
          <w:sz w:val="22"/>
        </w:rPr>
        <w:t xml:space="preserve"> </w:t>
      </w:r>
      <w:r>
        <w:rPr>
          <w:rFonts w:ascii="Arial" w:hAnsi="Arial"/>
          <w:sz w:val="22"/>
        </w:rPr>
        <w:t>“Gap vs HB”</w:t>
      </w:r>
      <w:r>
        <w:rPr>
          <w:rFonts w:ascii="Arial" w:hAnsi="Arial"/>
          <w:sz w:val="22"/>
        </w:rPr>
        <w:t xml:space="preserve"> </w:t>
      </w:r>
      <w:r>
        <w:rPr>
          <w:rFonts w:ascii="Arial" w:hAnsi="Arial"/>
          <w:sz w:val="22"/>
        </w:rPr>
        <w:t>é a desvantagem de renda de cada grupo</w:t>
      </w:r>
      <w:r>
        <w:rPr>
          <w:rFonts w:ascii="Arial" w:hAnsi="Arial"/>
          <w:sz w:val="22"/>
        </w:rPr>
        <w:t xml:space="preserve"> </w:t>
      </w:r>
      <w:r>
        <w:rPr>
          <w:rFonts w:ascii="Arial" w:hAnsi="Arial"/>
          <w:sz w:val="22"/>
        </w:rPr>
        <w:t>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w:t>
      </w:r>
      <w:r>
        <w:rPr>
          <w:rFonts w:ascii="Arial" w:hAnsi="Arial"/>
          <w:sz w:val="22"/>
        </w:rPr>
        <w:t>Grupo de referência: 1.842.088 homens brancos</w:t>
      </w:r>
    </w:p>
    <w:bookmarkStart w:id="91" w:name="fig:interseccional"/>
    <w:p>
      <w:pPr>
        <w:pStyle w:val="CaptionedFigure"/>
        <w:keepNext/>
        <w:keepLines/>
      </w:pPr>
      <w:r>
        <w:rPr>
          <w:rFonts w:ascii="Arial" w:hAnsi="Arial"/>
          <w:sz w:val="22"/>
        </w:rPr>
        <w:drawing>
          <wp:inline>
            <wp:extent cx="4717542" cy="1814439"/>
            <wp:effectExtent b="0" l="0" r="0" t="0"/>
            <wp:docPr descr="" title="" id="89" name="Picture"/>
            <a:graphic>
              <a:graphicData uri="http://schemas.openxmlformats.org/drawingml/2006/picture">
                <pic:pic>
                  <pic:nvPicPr>
                    <pic:cNvPr descr="outputs/figures/grupo_rg_interseccional.png" id="90" name="Picture"/>
                    <pic:cNvPicPr>
                      <a:picLocks noChangeArrowheads="1" noChangeAspect="1"/>
                    </pic:cNvPicPr>
                  </pic:nvPicPr>
                  <pic:blipFill>
                    <a:blip r:embed="rId88"/>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7: cada série é um grupo raça</w:t>
      </w:r>
      <m:oMath>
        <m:r>
          <m:rPr>
            <m:sty m:val="p"/>
          </m:rPr>
          <m:t>×</m:t>
        </m:r>
      </m:oMath>
      <w:r>
        <w:rPr>
          <w:rFonts w:ascii="Arial" w:hAnsi="Arial"/>
          <w:sz w:val="22"/>
        </w:rPr>
        <w:t>gênero e cada ponto, a razão de chances contra o homem branco, cuja referência é a linha tracejada em 1; abaixo dela, o grupo tem menos chance que ele. No painel A, siga a série azul (mulher negra): ela aparece acima da referência na categoria agregada e termina como o grupo mais distante da referência no topo da renda. No painel B,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2"/>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3"/>
    <w:bookmarkStart w:id="95"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bookmarkStart w:id="94"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4"/>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Penalidade salarial: HLM M3 (mesmo bairro, escolaridade, idade, sexo,</w:t>
      </w:r>
      <w:r>
        <w:rPr>
          <w:rFonts w:ascii="Arial" w:hAnsi="Arial"/>
          <w:sz w:val="22"/>
        </w:rPr>
        <w:t xml:space="preserve"> </w:t>
      </w:r>
      <w:r>
        <w:rPr>
          <w:rFonts w:ascii="Arial" w:hAnsi="Arial"/>
          <w:sz w:val="22"/>
        </w:rPr>
        <w:t>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r>
        <w:rPr>
          <w:rFonts w:ascii="Arial" w:hAnsi="Arial"/>
          <w:sz w:val="22"/>
        </w:rPr>
        <w:t xml:space="preserve">. </w:t>
      </w:r>
      <w:r>
        <w:rPr>
          <w:rFonts w:ascii="Arial" w:hAnsi="Arial"/>
          <w:sz w:val="22"/>
        </w:rPr>
        <w:t xml:space="preserve">OR abaixo de 1 é menor chance que a de um branco</w:t>
      </w:r>
      <w:r>
        <w:rPr>
          <w:rFonts w:ascii="Arial" w:hAnsi="Arial"/>
          <w:sz w:val="22"/>
        </w:rPr>
        <w:t xml:space="preserve"> </w:t>
      </w:r>
      <w:r>
        <w:rPr>
          <w:rFonts w:ascii="Arial" w:hAnsi="Arial"/>
          <w:sz w:val="22"/>
        </w:rPr>
        <w:t>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A penalidade cresce com a idade: 1,7% entre 14 e 29 anos, 8,8% entre 50 e 64 e 14,7% a partir dos 65. Dados transversais não separam as duas leituras possíveis: a de ciclo de vida (a desigualdade se acumula ao longo da carreira) é compatível com o teto de vidro; a de geração (quem chegou ao mercado mais recentemente encontraria menos discriminação), com melhora ao longo do tempo. Acima dos 65 anos, o grupo é selecionado — só quem ainda trabalha — e menor, o que pede cautela com essa estimativa.</w:t>
      </w:r>
    </w:p>
    <w:bookmarkEnd w:id="95"/>
    <w:bookmarkStart w:id="113"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96" w:name="subsec:ml"/>
      <w:bookmarkEnd w:id="96"/>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97"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9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r>
        <w:rPr>
          <w:rFonts w:ascii="Arial" w:hAnsi="Arial"/>
          <w:sz w:val="22"/>
        </w:rPr>
        <w:t xml:space="preserve">. </w:t>
      </w:r>
      <w:r>
        <w:rPr>
          <w:rFonts w:ascii="Arial" w:hAnsi="Arial"/>
          <w:sz w:val="22"/>
        </w:rPr>
        <w:t>Como ler a Tabela 13: R</w:t>
      </w:r>
      <w:r>
        <w:rPr>
          <w:rFonts w:ascii="Arial" w:hAnsi="Arial"/>
          <w:sz w:val="22"/>
          <w:vertAlign w:val="superscript"/>
        </w:rPr>
        <w:t xml:space="preserve">2</w:t>
      </w:r>
      <w:r>
        <w:rPr>
          <w:rFonts w:ascii="Arial" w:hAnsi="Arial"/>
          <w:sz w:val="22"/>
        </w:rPr>
        <w:t xml:space="preserve"> </w:t>
      </w:r>
      <w:r>
        <w:rPr>
          <w:rFonts w:ascii="Arial" w:hAnsi="Arial"/>
          <w:sz w:val="22"/>
        </w:rPr>
        <w:t>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e Tabela 15).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 e Tabela 15).</w:t>
      </w:r>
      <w:r>
        <w:rPr>
          <w:rStyle w:val="FootnoteReference"/>
          <w:rFonts w:ascii="Arial" w:hAnsi="Arial"/>
          <w:sz w:val="22"/>
          <w:vertAlign w:val="superscript"/>
        </w:rPr>
        <w:footnoteReference w:id="98"/>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99" w:name="tab:ml_cv"/>
    <w:p>
      <w:pPr>
        <w:pStyle w:val="TableCaption"/>
        <w:keepNext/>
        <w:keepLines/>
        <w:spacing w:line="240" w:lineRule="auto" w:before="240" w:after="40"/>
        <w:ind w:firstLine="0"/>
        <w:jc w:val="both"/>
      </w:pPr>
      <w:r>
        <w:rPr>
          <w:rFonts w:ascii="Arial" w:hAnsi="Arial"/>
          <w:sz w:val="22"/>
        </w:rPr>
        <w:t xml:space="preserve">Tabela 14. Escolha de hiperparâmetros do XGBoost na partição de validação</w:t>
      </w:r>
      <w:r>
        <w:rPr>
          <w:rFonts w:ascii="Arial" w:hAnsi="Arial"/>
          <w:sz w:val="22"/>
        </w:rPr>
        <w:t xml:space="preserve"> </w:t>
      </w:r>
      <w:r>
        <w:rPr>
          <w:rFonts w:ascii="Arial" w:hAnsi="Arial"/>
          <w:sz w:val="22"/>
        </w:rPr>
        <w:t>(Alencar, 2026a, b, c; Géron, 2021)</w:t>
      </w:r>
      <w:r>
        <w:rPr>
          <w:rFonts w:ascii="Arial" w:hAnsi="Arial"/>
          <w:sz w:val="22"/>
        </w:rPr>
        <w:t xml:space="preserve"/>
      </w:r>
    </w:p>
    <w:tbl>
      <w:tblPr>
        <w:tblStyle w:val="Table"/>
        <w:tblW w:type="auto" w:w="0"/>
        <w:tblLayout w:type="fixed"/>
        <w:tblLook w:firstRow="1" w:lastRow="0" w:firstColumn="0" w:lastColumn="0" w:noHBand="0" w:noVBand="0" w:val="0020"/>
        <w:tblCaption w:val="Tabela 14. Escolha de hiperparâmetros do XGBoost na partição de validação (Alencar, 2026a, b, c; Géron, 2021). Seis configurações comparadas dentro do treino — o conjunto de teste permanece intocado. População completa: 6.159.418 observações de treino e 1.539.855 de teste; nenhuma amostragem."/>
        <w:tblBorders>
          <w:top w:val="nil"/>
          <w:left w:val="nil"/>
          <w:bottom w:val="nil"/>
          <w:right w:val="nil"/>
          <w:insideH w:val="nil"/>
          <w:insideV w:val="nil"/>
        </w:tblBorders>
      </w:tblPr>
      <w:tblGrid>
        <w:gridCol w:w="1647"/>
        <w:gridCol w:w="1531"/>
        <w:gridCol w:w="1773"/>
        <w:gridCol w:w="1268"/>
        <w:gridCol w:w="1268"/>
        <w:gridCol w:w="1585"/>
      </w:tblGrid>
      <w:tr>
        <w:trPr>
          <w:tblHeader w:val="on"/>
          <w:cantSplit/>
        </w:trPr>
        <w:tc>
          <w:tcPr>
            <w:tcW w:type="dxa" w:w="164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Profundidade</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Taxa de aprendizado</w:t>
            </w:r>
          </w:p>
        </w:tc>
        <w:tc>
          <w:tcPr>
            <w:tcW w:type="dxa" w:w="177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Árvores</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MAE</w:t>
            </w:r>
          </w:p>
        </w:tc>
        <w:tc>
          <w:tcPr>
            <w:tcW w:type="dxa" w:w="158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sz w:val="20"/>
              </w:rPr>
              <w:t xml:space="preserve">10</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0,6427</w:t>
            </w:r>
          </w:p>
        </w:tc>
        <w:tc>
          <w:tcPr>
            <w:tcW w:type="dxa" w:w="1268"/>
          </w:tcPr>
          <w:p>
            <w:pPr>
              <w:pStyle w:val="Compact"/>
              <w:keepNext/>
              <w:spacing w:line="240" w:lineRule="auto" w:after="0"/>
              <w:ind w:firstLine="0"/>
              <w:jc w:val="right"/>
            </w:pPr>
            <w:r>
              <w:rPr>
                <w:rFonts w:ascii="Arial" w:hAnsi="Arial"/>
                <w:b w:val="0"/>
                <w:sz w:val="20"/>
              </w:rPr>
              <w:t xml:space="preserve">0,3977</w:t>
            </w:r>
          </w:p>
        </w:tc>
        <w:tc>
          <w:tcPr>
            <w:tcW w:type="dxa" w:w="1585"/>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600</w:t>
            </w:r>
          </w:p>
        </w:tc>
        <w:tc>
          <w:tcPr>
            <w:tcW w:type="dxa" w:w="1268"/>
          </w:tcPr>
          <w:p>
            <w:pPr>
              <w:pStyle w:val="Compact"/>
              <w:keepNext/>
              <w:spacing w:line="240" w:lineRule="auto" w:after="0"/>
              <w:ind w:firstLine="0"/>
              <w:jc w:val="right"/>
            </w:pPr>
            <w:r>
              <w:rPr>
                <w:rFonts w:ascii="Arial" w:hAnsi="Arial"/>
                <w:b w:val="0"/>
                <w:sz w:val="20"/>
              </w:rPr>
              <w:t xml:space="preserve">0,6395</w:t>
            </w:r>
          </w:p>
        </w:tc>
        <w:tc>
          <w:tcPr>
            <w:tcW w:type="dxa" w:w="1268"/>
          </w:tcPr>
          <w:p>
            <w:pPr>
              <w:pStyle w:val="Compact"/>
              <w:keepNext/>
              <w:spacing w:line="240" w:lineRule="auto" w:after="0"/>
              <w:ind w:firstLine="0"/>
              <w:jc w:val="right"/>
            </w:pPr>
            <w:r>
              <w:rPr>
                <w:rFonts w:ascii="Arial" w:hAnsi="Arial"/>
                <w:b w:val="0"/>
                <w:sz w:val="20"/>
              </w:rPr>
              <w:t xml:space="preserve">0,3995</w:t>
            </w:r>
          </w:p>
        </w:tc>
        <w:tc>
          <w:tcPr>
            <w:tcW w:type="dxa" w:w="1585"/>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0,6352</w:t>
            </w:r>
          </w:p>
        </w:tc>
        <w:tc>
          <w:tcPr>
            <w:tcW w:type="dxa" w:w="1268"/>
          </w:tcPr>
          <w:p>
            <w:pPr>
              <w:pStyle w:val="Compact"/>
              <w:keepNext/>
              <w:spacing w:line="240" w:lineRule="auto" w:after="0"/>
              <w:ind w:firstLine="0"/>
              <w:jc w:val="right"/>
            </w:pPr>
            <w:r>
              <w:rPr>
                <w:rFonts w:ascii="Arial" w:hAnsi="Arial"/>
                <w:b w:val="0"/>
                <w:sz w:val="20"/>
              </w:rPr>
              <w:t xml:space="preserve">0,4022</w:t>
            </w:r>
          </w:p>
        </w:tc>
        <w:tc>
          <w:tcPr>
            <w:tcW w:type="dxa" w:w="1585"/>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0,10</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0,6322</w:t>
            </w:r>
          </w:p>
        </w:tc>
        <w:tc>
          <w:tcPr>
            <w:tcW w:type="dxa" w:w="1268"/>
          </w:tcPr>
          <w:p>
            <w:pPr>
              <w:pStyle w:val="Compact"/>
              <w:keepNext/>
              <w:spacing w:line="240" w:lineRule="auto" w:after="0"/>
              <w:ind w:firstLine="0"/>
              <w:jc w:val="right"/>
            </w:pPr>
            <w:r>
              <w:rPr>
                <w:rFonts w:ascii="Arial" w:hAnsi="Arial"/>
                <w:b w:val="0"/>
                <w:sz w:val="20"/>
              </w:rPr>
              <w:t xml:space="preserve">0,4041</w:t>
            </w:r>
          </w:p>
        </w:tc>
        <w:tc>
          <w:tcPr>
            <w:tcW w:type="dxa" w:w="1585"/>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 (referência)</w:t>
            </w:r>
          </w:p>
        </w:tc>
        <w:tc>
          <w:tcPr>
            <w:tcW w:type="dxa" w:w="1268"/>
          </w:tcPr>
          <w:p>
            <w:pPr>
              <w:pStyle w:val="Compact"/>
              <w:keepNext/>
              <w:spacing w:line="240" w:lineRule="auto" w:after="0"/>
              <w:ind w:firstLine="0"/>
              <w:jc w:val="right"/>
            </w:pPr>
            <w:r>
              <w:rPr>
                <w:rFonts w:ascii="Arial" w:hAnsi="Arial"/>
                <w:b w:val="0"/>
                <w:sz w:val="20"/>
              </w:rPr>
              <w:t xml:space="preserve">0,6286</w:t>
            </w:r>
          </w:p>
        </w:tc>
        <w:tc>
          <w:tcPr>
            <w:tcW w:type="dxa" w:w="1268"/>
          </w:tcPr>
          <w:p>
            <w:pPr>
              <w:pStyle w:val="Compact"/>
              <w:keepNext/>
              <w:spacing w:line="240" w:lineRule="auto" w:after="0"/>
              <w:ind w:firstLine="0"/>
              <w:jc w:val="right"/>
            </w:pPr>
            <w:r>
              <w:rPr>
                <w:rFonts w:ascii="Arial" w:hAnsi="Arial"/>
                <w:b w:val="0"/>
                <w:sz w:val="20"/>
              </w:rPr>
              <w:t xml:space="preserve">0,4062</w:t>
            </w:r>
          </w:p>
        </w:tc>
        <w:tc>
          <w:tcPr>
            <w:tcW w:type="dxa" w:w="1585"/>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77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8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9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Seis configurações comparadas</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População completa:</w:t>
      </w:r>
      <w:r>
        <w:rPr>
          <w:rFonts w:ascii="Arial" w:hAnsi="Arial"/>
          <w:sz w:val="22"/>
        </w:rPr>
        <w:t xml:space="preserve"> </w:t>
      </w:r>
      <w:r>
        <w:rPr>
          <w:rFonts w:ascii="Arial" w:hAnsi="Arial"/>
          <w:sz w:val="22"/>
        </w:rPr>
        <w:t>6.159.418 observações de treino e 1.539.855 de teste; nenhuma amostragem</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primeira linha é a configuração escolhida</w:t>
      </w:r>
    </w:p>
    <w:bookmarkStart w:id="100" w:name="tab:ml_cv_b"/>
    <w:p>
      <w:pPr>
        <w:pStyle w:val="TableCaption"/>
        <w:keepNext/>
        <w:keepLines/>
        <w:spacing w:line="240" w:lineRule="auto" w:before="240" w:after="40"/>
        <w:ind w:firstLine="0"/>
        <w:jc w:val="both"/>
      </w:pPr>
      <w:r>
        <w:rPr>
          <w:rFonts w:ascii="Arial" w:hAnsi="Arial"/>
          <w:sz w:val="22"/>
        </w:rPr>
        <w:t xml:space="preserve">Tabela 15.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do XGBoost no treino completo,</w:t>
      </w:r>
      <w:r>
        <w:rPr>
          <w:rFonts w:ascii="Arial" w:hAnsi="Arial"/>
          <w:sz w:val="22"/>
        </w:rPr>
        <w:t xml:space="preserve"> </w:t>
      </w:r>
      <w:r>
        <w:rPr>
          <w:rFonts w:ascii="Arial" w:hAnsi="Arial"/>
          <w:sz w:val="22"/>
        </w:rPr>
        <w:t xml:space="preserve">com média e desvio-padrão entre</w:t>
      </w:r>
      <w:r>
        <w:rPr>
          <w:rFonts w:ascii="Arial" w:hAnsi="Arial"/>
          <w:sz w:val="22"/>
        </w:rPr>
        <w:t xml:space="preserve"> </w:t>
      </w:r>
      <w:r>
        <w:rPr>
          <w:rFonts w:ascii="Arial" w:hAnsi="Arial"/>
          <w:sz w:val="22"/>
        </w:rPr>
        <w:t xml:space="preserve">folds</w:t>
      </w:r>
      <w:r>
        <w:rPr>
          <w:rFonts w:ascii="Arial" w:hAnsi="Arial"/>
          <w:sz w:val="22"/>
        </w:rPr>
        <w:t xml:space="preserve"/>
      </w:r>
    </w:p>
    <w:tbl>
      <w:tblPr>
        <w:tblStyle w:val="Table"/>
        <w:tblW w:type="auto" w:w="0"/>
        <w:tblLayout w:type="fixed"/>
        <w:tblLook w:firstRow="1" w:lastRow="0" w:firstColumn="0" w:lastColumn="0" w:noHBand="0" w:noVBand="0" w:val="0020"/>
        <w:tblCaption w:val="Tabela 15. Validação cruzada k-fold (k=5) do XGBoost no treino completo, com média e desvio-padrão entre folds."/>
        <w:tblBorders>
          <w:top w:val="nil"/>
          <w:left w:val="nil"/>
          <w:bottom w:val="nil"/>
          <w:right w:val="nil"/>
          <w:insideH w:val="nil"/>
          <w:insideV w:val="nil"/>
        </w:tblBorders>
      </w:tblPr>
      <w:tblGrid>
        <w:gridCol w:w="3402"/>
        <w:gridCol w:w="1890"/>
        <w:gridCol w:w="1890"/>
        <w:gridCol w:w="1890"/>
      </w:tblGrid>
      <w:tr>
        <w:trPr>
          <w:tblHeader w:val="on"/>
          <w:cantSplit/>
        </w:trPr>
        <w:tc>
          <w:tcPr>
            <w:tcW w:type="dxa" w:w="340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Configuração</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MAE</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RMSE</w:t>
            </w:r>
          </w:p>
        </w:tc>
      </w:tr>
      <w:tr>
        <w:trPr>
          <w:cantSplit/>
        </w:trPr>
        <w:tc>
          <w:tcPr>
            <w:tcW w:type="dxa" w:w="3402"/>
          </w:tcPr>
          <w:p>
            <w:pPr>
              <w:pStyle w:val="Compact"/>
              <w:keepNext/>
              <w:spacing w:line="240" w:lineRule="auto" w:after="0"/>
              <w:ind w:firstLine="0"/>
              <w:jc w:val="left"/>
            </w:pPr>
            <w:r>
              <w:rPr>
                <w:rFonts w:ascii="Arial" w:hAnsi="Arial"/>
                <w:b w:val="0"/>
                <w:sz w:val="22"/>
              </w:rPr>
              <w:t xml:space="preserve">Escolhida (profundidade 10)</w:t>
            </w:r>
          </w:p>
        </w:tc>
        <w:tc>
          <w:tcPr>
            <w:tcW w:type="dxa" w:w="1890"/>
          </w:tcPr>
          <w:p>
            <w:pPr>
              <w:pStyle w:val="Compact"/>
              <w:keepNext/>
              <w:spacing w:line="240" w:lineRule="auto" w:after="0"/>
              <w:ind w:firstLine="0"/>
              <w:jc w:val="left"/>
            </w:pPr>
            <w:r>
              <w:rPr>
                <w:rFonts w:ascii="Arial" w:hAnsi="Arial"/>
                <w:b w:val="0"/>
                <w:sz w:val="22"/>
              </w:rPr>
              <w:t xml:space="preserve">0,6435 ± 0,0006</w:t>
            </w:r>
          </w:p>
        </w:tc>
        <w:tc>
          <w:tcPr>
            <w:tcW w:type="dxa" w:w="1890"/>
          </w:tcPr>
          <w:p>
            <w:pPr>
              <w:pStyle w:val="Compact"/>
              <w:keepNext/>
              <w:spacing w:line="240" w:lineRule="auto" w:after="0"/>
              <w:ind w:firstLine="0"/>
              <w:jc w:val="left"/>
            </w:pPr>
            <w:r>
              <w:rPr>
                <w:rFonts w:ascii="Arial" w:hAnsi="Arial"/>
                <w:b w:val="0"/>
                <w:sz w:val="22"/>
              </w:rPr>
              <w:t xml:space="preserve">0,3978 ± 0,0002</w:t>
            </w:r>
          </w:p>
        </w:tc>
        <w:tc>
          <w:tcPr>
            <w:tcW w:type="dxa" w:w="1890"/>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340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bookmarkEnd w:id="100"/>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A configuração escolhida ganha 1,4 ponto percentual</w:t>
      </w:r>
      <w:r>
        <w:rPr>
          <w:rFonts w:ascii="Arial" w:hAnsi="Arial"/>
          <w:sz w:val="22"/>
        </w:rPr>
        <w:t xml:space="preserve"> </w:t>
      </w:r>
      <w:r>
        <w:rPr>
          <w:rFonts w:ascii="Arial" w:hAnsi="Arial"/>
          <w:sz w:val="22"/>
        </w:rPr>
        <w:t xml:space="preserve">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 sobreajuste maior, mas ainda pequeno (Tabela 14). No</w:t>
      </w:r>
      <w:r>
        <w:rPr>
          <w:rFonts w:ascii="Arial" w:hAnsi="Arial"/>
          <w:sz w:val="22"/>
        </w:rPr>
        <w:t xml:space="preserve"> </w:t>
      </w:r>
      <w:r>
        <w:rPr>
          <w:rFonts w:ascii="Arial" w:hAnsi="Arial"/>
          <w:sz w:val="22"/>
        </w:rPr>
        <w:t xml:space="preserve">conjunto de teste (intocado durante a 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1"/>
      </w:r>
      <w:r>
        <w:rPr>
          <w:rFonts w:ascii="Arial" w:hAnsi="Arial"/>
          <w:sz w:val="22"/>
        </w:rPr>
        <w:t xml:space="preserve">. Três evidências</w:t>
      </w:r>
      <w:r>
        <w:rPr>
          <w:rFonts w:ascii="Arial" w:hAnsi="Arial"/>
          <w:sz w:val="22"/>
        </w:rPr>
        <w:t xml:space="preserve"> </w:t>
      </w:r>
      <w:r>
        <w:rPr>
          <w:rFonts w:ascii="Arial" w:hAnsi="Arial"/>
          <w:sz w:val="22"/>
        </w:rPr>
        <w:t>convergem: a diferença entre treino e teste é praticamente nula; o número de observações</w:t>
      </w:r>
      <w:r>
        <w:rPr>
          <w:rFonts w:ascii="Arial" w:hAnsi="Arial"/>
          <w:sz w:val="22"/>
        </w:rPr>
        <w:t xml:space="preserve"> </w:t>
      </w:r>
      <w:r>
        <w:rPr>
          <w:rFonts w:ascii="Arial" w:hAnsi="Arial"/>
          <w:sz w:val="22"/>
        </w:rPr>
        <w:t>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16 traz o ranking completo das variáveis nos dois modelos, e a Figura 8 mostra como cada uma move a previsão, trabalhador a trabalhador.</w:t>
      </w:r>
    </w:p>
    <w:bookmarkStart w:id="102" w:name="tab:shap_importance"/>
    <w:p>
      <w:pPr>
        <w:pStyle w:val="TableCaption"/>
        <w:keepNext/>
        <w:keepLines/>
        <w:spacing w:line="240" w:lineRule="auto" w:before="240" w:after="40"/>
        <w:ind w:firstLine="0"/>
        <w:jc w:val="both"/>
      </w:pPr>
      <w:r>
        <w:rPr>
          <w:rFonts w:ascii="Arial" w:hAnsi="Arial"/>
          <w:sz w:val="22"/>
        </w:rPr>
        <w:t xml:space="preserve">Tabela 16. Importância SHAP Comparada — Random Forest e XGBoost</w:t>
      </w:r>
    </w:p>
    <w:tbl>
      <w:tblPr>
        <w:tblStyle w:val="Table"/>
        <w:tblW w:type="auto" w:w="0"/>
        <w:tblLayout w:type="fixed"/>
        <w:tblLook w:firstRow="1" w:lastRow="0" w:firstColumn="0" w:lastColumn="0" w:noHBand="0" w:noVBand="0" w:val="0020"/>
        <w:tblCaption w:val="Tabela 16. Importância SHAP Comparada — Random Forest e XGBoost. Predição de log-rendimento, PNAD 2016–2025 (N_{\text{SHAP}}=50.000). Valores: |\text{SHAP}| médio."/>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Renda média UPA (exceto o próprio)</w:t>
            </w:r>
          </w:p>
        </w:tc>
        <w:tc>
          <w:tcPr>
            <w:tcW w:type="dxa" w:w="1602"/>
            <w:vAlign w:val="top"/>
          </w:tcPr>
          <w:p>
            <w:pPr>
              <w:pStyle w:val="Compact"/>
              <w:keepNext/>
              <w:spacing w:line="240" w:lineRule="auto" w:after="80"/>
              <w:ind w:firstLine="0"/>
              <w:jc w:val="right"/>
            </w:pPr>
            <w:r>
              <w:rPr>
                <w:rFonts w:ascii="Arial" w:hAnsi="Arial"/>
                <w:b w:val="0"/>
                <w:sz w:val="20"/>
              </w:rPr>
              <w:t xml:space="preserve">0,21008</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c>
          <w:tcPr>
            <w:tcW w:type="dxa" w:w="1602"/>
            <w:vAlign w:val="top"/>
          </w:tcPr>
          <w:p>
            <w:pPr>
              <w:pStyle w:val="Compact"/>
              <w:keepNext/>
              <w:spacing w:line="240" w:lineRule="auto" w:after="80"/>
              <w:ind w:firstLine="0"/>
              <w:jc w:val="right"/>
            </w:pPr>
            <w:r>
              <w:rPr>
                <w:rFonts w:ascii="Arial" w:hAnsi="Arial"/>
                <w:b w:val="0"/>
                <w:sz w:val="20"/>
              </w:rPr>
              <w:t xml:space="preserve">0,18775</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superior completo</w:t>
            </w:r>
          </w:p>
        </w:tc>
        <w:tc>
          <w:tcPr>
            <w:tcW w:type="dxa" w:w="1602"/>
            <w:vAlign w:val="top"/>
          </w:tcPr>
          <w:p>
            <w:pPr>
              <w:pStyle w:val="Compact"/>
              <w:keepNext/>
              <w:spacing w:line="240" w:lineRule="auto" w:after="80"/>
              <w:ind w:firstLine="0"/>
              <w:jc w:val="right"/>
            </w:pPr>
            <w:r>
              <w:rPr>
                <w:rFonts w:ascii="Arial" w:hAnsi="Arial"/>
                <w:b w:val="0"/>
                <w:sz w:val="20"/>
              </w:rPr>
              <w:t xml:space="preserve">0,24464</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c>
          <w:tcPr>
            <w:tcW w:type="dxa" w:w="1602"/>
            <w:vAlign w:val="top"/>
          </w:tcPr>
          <w:p>
            <w:pPr>
              <w:pStyle w:val="Compact"/>
              <w:keepNext/>
              <w:spacing w:line="240" w:lineRule="auto" w:after="80"/>
              <w:ind w:firstLine="0"/>
              <w:jc w:val="right"/>
            </w:pPr>
            <w:r>
              <w:rPr>
                <w:rFonts w:ascii="Arial" w:hAnsi="Arial"/>
                <w:b w:val="0"/>
                <w:sz w:val="20"/>
              </w:rPr>
              <w:t xml:space="preserve">0,17823</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Horas trabalhadas</w:t>
            </w:r>
          </w:p>
        </w:tc>
        <w:tc>
          <w:tcPr>
            <w:tcW w:type="dxa" w:w="1602"/>
            <w:vAlign w:val="top"/>
          </w:tcPr>
          <w:p>
            <w:pPr>
              <w:pStyle w:val="Compact"/>
              <w:keepNext/>
              <w:spacing w:line="240" w:lineRule="auto" w:after="80"/>
              <w:ind w:firstLine="0"/>
              <w:jc w:val="right"/>
            </w:pPr>
            <w:r>
              <w:rPr>
                <w:rFonts w:ascii="Arial" w:hAnsi="Arial"/>
                <w:b w:val="0"/>
                <w:sz w:val="20"/>
              </w:rPr>
              <w:t xml:space="preserve">0,19383</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c>
          <w:tcPr>
            <w:tcW w:type="dxa" w:w="1602"/>
            <w:vAlign w:val="top"/>
          </w:tcPr>
          <w:p>
            <w:pPr>
              <w:pStyle w:val="Compact"/>
              <w:keepNext/>
              <w:spacing w:line="240" w:lineRule="auto" w:after="80"/>
              <w:ind w:firstLine="0"/>
              <w:jc w:val="right"/>
            </w:pPr>
            <w:r>
              <w:rPr>
                <w:rFonts w:ascii="Arial" w:hAnsi="Arial"/>
                <w:b w:val="0"/>
                <w:sz w:val="20"/>
              </w:rPr>
              <w:t xml:space="preserve">0,17220</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Gênero (feminino)</w:t>
            </w:r>
          </w:p>
        </w:tc>
        <w:tc>
          <w:tcPr>
            <w:tcW w:type="dxa" w:w="1602"/>
            <w:vAlign w:val="top"/>
          </w:tcPr>
          <w:p>
            <w:pPr>
              <w:pStyle w:val="Compact"/>
              <w:keepNext/>
              <w:spacing w:line="240" w:lineRule="auto" w:after="80"/>
              <w:ind w:firstLine="0"/>
              <w:jc w:val="right"/>
            </w:pPr>
            <w:r>
              <w:rPr>
                <w:rFonts w:ascii="Arial" w:hAnsi="Arial"/>
                <w:b w:val="0"/>
                <w:sz w:val="20"/>
              </w:rPr>
              <w:t xml:space="preserve">0,11166</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c>
          <w:tcPr>
            <w:tcW w:type="dxa" w:w="1602"/>
            <w:vAlign w:val="top"/>
          </w:tcPr>
          <w:p>
            <w:pPr>
              <w:pStyle w:val="Compact"/>
              <w:keepNext/>
              <w:spacing w:line="240" w:lineRule="auto" w:after="80"/>
              <w:ind w:firstLine="0"/>
              <w:jc w:val="right"/>
            </w:pPr>
            <w:r>
              <w:rPr>
                <w:rFonts w:ascii="Arial" w:hAnsi="Arial"/>
                <w:b w:val="0"/>
                <w:sz w:val="20"/>
              </w:rPr>
              <w:t xml:space="preserve">0,10557</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Emprego formal (carteira)</w:t>
            </w:r>
          </w:p>
        </w:tc>
        <w:tc>
          <w:tcPr>
            <w:tcW w:type="dxa" w:w="1602"/>
            <w:vAlign w:val="top"/>
          </w:tcPr>
          <w:p>
            <w:pPr>
              <w:pStyle w:val="Compact"/>
              <w:keepNext/>
              <w:spacing w:line="240" w:lineRule="auto" w:after="80"/>
              <w:ind w:firstLine="0"/>
              <w:jc w:val="right"/>
            </w:pPr>
            <w:r>
              <w:rPr>
                <w:rFonts w:ascii="Arial" w:hAnsi="Arial"/>
                <w:b w:val="0"/>
                <w:sz w:val="20"/>
              </w:rPr>
              <w:t xml:space="preserve">0,11100</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c>
          <w:tcPr>
            <w:tcW w:type="dxa" w:w="1602"/>
            <w:vAlign w:val="top"/>
          </w:tcPr>
          <w:p>
            <w:pPr>
              <w:pStyle w:val="Compact"/>
              <w:keepNext/>
              <w:spacing w:line="240" w:lineRule="auto" w:after="80"/>
              <w:ind w:firstLine="0"/>
              <w:jc w:val="right"/>
            </w:pPr>
            <w:r>
              <w:rPr>
                <w:rFonts w:ascii="Arial" w:hAnsi="Arial"/>
                <w:b w:val="0"/>
                <w:sz w:val="20"/>
              </w:rPr>
              <w:t xml:space="preserve">0,10548</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 (centrada)</w:t>
            </w:r>
          </w:p>
        </w:tc>
        <w:tc>
          <w:tcPr>
            <w:tcW w:type="dxa" w:w="1602"/>
            <w:vAlign w:val="top"/>
          </w:tcPr>
          <w:p>
            <w:pPr>
              <w:pStyle w:val="Compact"/>
              <w:keepNext/>
              <w:spacing w:line="240" w:lineRule="auto" w:after="80"/>
              <w:ind w:firstLine="0"/>
              <w:jc w:val="right"/>
            </w:pPr>
            <w:r>
              <w:rPr>
                <w:rFonts w:ascii="Arial" w:hAnsi="Arial"/>
                <w:b w:val="0"/>
                <w:sz w:val="20"/>
              </w:rPr>
              <w:t xml:space="preserve">0,05669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c>
          <w:tcPr>
            <w:tcW w:type="dxa" w:w="1602"/>
            <w:vAlign w:val="top"/>
          </w:tcPr>
          <w:p>
            <w:pPr>
              <w:pStyle w:val="Compact"/>
              <w:keepNext/>
              <w:spacing w:line="240" w:lineRule="auto" w:after="80"/>
              <w:ind w:firstLine="0"/>
              <w:jc w:val="right"/>
            </w:pPr>
            <w:r>
              <w:rPr>
                <w:rFonts w:ascii="Arial" w:hAnsi="Arial"/>
                <w:b w:val="0"/>
                <w:sz w:val="20"/>
              </w:rPr>
              <w:t xml:space="preserve">0,09059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Conta própria</w:t>
            </w:r>
          </w:p>
        </w:tc>
        <w:tc>
          <w:tcPr>
            <w:tcW w:type="dxa" w:w="1602"/>
            <w:vAlign w:val="top"/>
          </w:tcPr>
          <w:p>
            <w:pPr>
              <w:pStyle w:val="Compact"/>
              <w:keepNext/>
              <w:spacing w:line="240" w:lineRule="auto" w:after="80"/>
              <w:ind w:firstLine="0"/>
              <w:jc w:val="right"/>
            </w:pPr>
            <w:r>
              <w:rPr>
                <w:rFonts w:ascii="Arial" w:hAnsi="Arial"/>
                <w:b w:val="0"/>
                <w:sz w:val="20"/>
              </w:rPr>
              <w:t xml:space="preserve">0,02228</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c>
          <w:tcPr>
            <w:tcW w:type="dxa" w:w="1602"/>
            <w:vAlign w:val="top"/>
          </w:tcPr>
          <w:p>
            <w:pPr>
              <w:pStyle w:val="Compact"/>
              <w:keepNext/>
              <w:spacing w:line="240" w:lineRule="auto" w:after="80"/>
              <w:ind w:firstLine="0"/>
              <w:jc w:val="right"/>
            </w:pPr>
            <w:r>
              <w:rPr>
                <w:rFonts w:ascii="Arial" w:hAnsi="Arial"/>
                <w:b w:val="0"/>
                <w:sz w:val="20"/>
              </w:rPr>
              <w:t xml:space="preserve">0,05621</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Profissionais</w:t>
            </w:r>
          </w:p>
        </w:tc>
        <w:tc>
          <w:tcPr>
            <w:tcW w:type="dxa" w:w="1602"/>
            <w:vAlign w:val="top"/>
          </w:tcPr>
          <w:p>
            <w:pPr>
              <w:pStyle w:val="Compact"/>
              <w:keepNext/>
              <w:spacing w:line="240" w:lineRule="auto" w:after="80"/>
              <w:ind w:firstLine="0"/>
              <w:jc w:val="right"/>
            </w:pPr>
            <w:r>
              <w:rPr>
                <w:rFonts w:ascii="Arial" w:hAnsi="Arial"/>
                <w:b w:val="0"/>
                <w:sz w:val="20"/>
              </w:rPr>
              <w:t xml:space="preserve">0,02371</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c>
          <w:tcPr>
            <w:tcW w:type="dxa" w:w="1602"/>
            <w:vAlign w:val="top"/>
          </w:tcPr>
          <w:p>
            <w:pPr>
              <w:pStyle w:val="Compact"/>
              <w:keepNext/>
              <w:spacing w:line="240" w:lineRule="auto" w:after="80"/>
              <w:ind w:firstLine="0"/>
              <w:jc w:val="right"/>
            </w:pPr>
            <w:r>
              <w:rPr>
                <w:rFonts w:ascii="Arial" w:hAnsi="Arial"/>
                <w:b w:val="0"/>
                <w:sz w:val="20"/>
              </w:rPr>
              <w:t xml:space="preserve">0,05440</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médio completo</w:t>
            </w:r>
          </w:p>
        </w:tc>
        <w:tc>
          <w:tcPr>
            <w:tcW w:type="dxa" w:w="1602"/>
            <w:vAlign w:val="top"/>
          </w:tcPr>
          <w:p>
            <w:pPr>
              <w:pStyle w:val="Compact"/>
              <w:keepNext/>
              <w:spacing w:line="240" w:lineRule="auto" w:after="80"/>
              <w:ind w:firstLine="0"/>
              <w:jc w:val="right"/>
            </w:pPr>
            <w:r>
              <w:rPr>
                <w:rFonts w:ascii="Arial" w:hAnsi="Arial"/>
                <w:b w:val="0"/>
                <w:sz w:val="20"/>
              </w:rPr>
              <w:t xml:space="preserve">0,04494</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c>
          <w:tcPr>
            <w:tcW w:type="dxa" w:w="1602"/>
            <w:vAlign w:val="top"/>
          </w:tcPr>
          <w:p>
            <w:pPr>
              <w:pStyle w:val="Compact"/>
              <w:keepNext/>
              <w:spacing w:line="240" w:lineRule="auto" w:after="80"/>
              <w:ind w:firstLine="0"/>
              <w:jc w:val="right"/>
            </w:pPr>
            <w:r>
              <w:rPr>
                <w:rFonts w:ascii="Arial" w:hAnsi="Arial"/>
                <w:b w:val="0"/>
                <w:sz w:val="20"/>
              </w:rPr>
              <w:t xml:space="preserve">0,04043</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Técnicos</w:t>
            </w:r>
          </w:p>
        </w:tc>
        <w:tc>
          <w:tcPr>
            <w:tcW w:type="dxa" w:w="1602"/>
            <w:vAlign w:val="top"/>
          </w:tcPr>
          <w:p>
            <w:pPr>
              <w:pStyle w:val="Compact"/>
              <w:keepNext/>
              <w:spacing w:line="240" w:lineRule="auto" w:after="80"/>
              <w:ind w:firstLine="0"/>
              <w:jc w:val="right"/>
            </w:pPr>
            <w:r>
              <w:rPr>
                <w:rFonts w:ascii="Arial" w:hAnsi="Arial"/>
                <w:b w:val="0"/>
                <w:sz w:val="20"/>
              </w:rPr>
              <w:t xml:space="preserve">0,02033</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c>
          <w:tcPr>
            <w:tcW w:type="dxa" w:w="1602"/>
            <w:vAlign w:val="top"/>
          </w:tcPr>
          <w:p>
            <w:pPr>
              <w:pStyle w:val="Compact"/>
              <w:keepNext/>
              <w:spacing w:line="240" w:lineRule="auto" w:after="80"/>
              <w:ind w:firstLine="0"/>
              <w:jc w:val="right"/>
            </w:pPr>
            <w:r>
              <w:rPr>
                <w:rFonts w:ascii="Arial" w:hAnsi="Arial"/>
                <w:b w:val="0"/>
                <w:sz w:val="20"/>
              </w:rPr>
              <w:t xml:space="preserve">0,03875</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Estado</w:t>
            </w:r>
          </w:p>
        </w:tc>
        <w:tc>
          <w:tcPr>
            <w:tcW w:type="dxa" w:w="1602"/>
            <w:vAlign w:val="top"/>
          </w:tcPr>
          <w:p>
            <w:pPr>
              <w:pStyle w:val="Compact"/>
              <w:keepNext/>
              <w:spacing w:line="240" w:lineRule="auto" w:after="80"/>
              <w:ind w:firstLine="0"/>
              <w:jc w:val="right"/>
            </w:pPr>
            <w:r>
              <w:rPr>
                <w:rFonts w:ascii="Arial" w:hAnsi="Arial"/>
                <w:b w:val="0"/>
                <w:sz w:val="20"/>
              </w:rPr>
              <w:t xml:space="preserve">0,00210</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c>
          <w:tcPr>
            <w:tcW w:type="dxa" w:w="1602"/>
            <w:vAlign w:val="top"/>
          </w:tcPr>
          <w:p>
            <w:pPr>
              <w:pStyle w:val="Compact"/>
              <w:keepNext/>
              <w:spacing w:line="240" w:lineRule="auto" w:after="80"/>
              <w:ind w:firstLine="0"/>
              <w:jc w:val="right"/>
            </w:pPr>
            <w:r>
              <w:rPr>
                <w:rFonts w:ascii="Arial" w:hAnsi="Arial"/>
                <w:b w:val="0"/>
                <w:sz w:val="20"/>
              </w:rPr>
              <w:t xml:space="preserve">0,03339</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Dirigentes</w:t>
            </w:r>
          </w:p>
        </w:tc>
        <w:tc>
          <w:tcPr>
            <w:tcW w:type="dxa" w:w="1602"/>
            <w:vAlign w:val="top"/>
          </w:tcPr>
          <w:p>
            <w:pPr>
              <w:pStyle w:val="Compact"/>
              <w:keepNext/>
              <w:spacing w:line="240" w:lineRule="auto" w:after="80"/>
              <w:ind w:firstLine="0"/>
              <w:jc w:val="right"/>
            </w:pPr>
            <w:r>
              <w:rPr>
                <w:rFonts w:ascii="Arial" w:hAnsi="Arial"/>
                <w:b w:val="0"/>
                <w:sz w:val="20"/>
              </w:rPr>
              <w:t xml:space="preserve">0,02388</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c>
          <w:tcPr>
            <w:tcW w:type="dxa" w:w="1602"/>
            <w:vAlign w:val="top"/>
          </w:tcPr>
          <w:p>
            <w:pPr>
              <w:pStyle w:val="Compact"/>
              <w:keepNext/>
              <w:spacing w:line="240" w:lineRule="auto" w:after="80"/>
              <w:ind w:firstLine="0"/>
              <w:jc w:val="right"/>
            </w:pPr>
            <w:r>
              <w:rPr>
                <w:rFonts w:ascii="Arial" w:hAnsi="Arial"/>
                <w:b w:val="0"/>
                <w:sz w:val="20"/>
              </w:rPr>
              <w:t xml:space="preserve">0,03276</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fundamental completo</w:t>
            </w:r>
          </w:p>
        </w:tc>
        <w:tc>
          <w:tcPr>
            <w:tcW w:type="dxa" w:w="1602"/>
            <w:vAlign w:val="top"/>
          </w:tcPr>
          <w:p>
            <w:pPr>
              <w:pStyle w:val="Compact"/>
              <w:keepNext/>
              <w:spacing w:line="240" w:lineRule="auto" w:after="80"/>
              <w:ind w:firstLine="0"/>
              <w:jc w:val="right"/>
            </w:pPr>
            <w:r>
              <w:rPr>
                <w:rFonts w:ascii="Arial" w:hAnsi="Arial"/>
                <w:b w:val="0"/>
                <w:sz w:val="20"/>
              </w:rPr>
              <w:t xml:space="preserve">0,00738</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c>
          <w:tcPr>
            <w:tcW w:type="dxa" w:w="1602"/>
            <w:vAlign w:val="top"/>
          </w:tcPr>
          <w:p>
            <w:pPr>
              <w:pStyle w:val="Compact"/>
              <w:keepNext/>
              <w:spacing w:line="240" w:lineRule="auto" w:after="80"/>
              <w:ind w:firstLine="0"/>
              <w:jc w:val="right"/>
            </w:pPr>
            <w:r>
              <w:rPr>
                <w:rFonts w:ascii="Arial" w:hAnsi="Arial"/>
                <w:b w:val="0"/>
                <w:sz w:val="20"/>
              </w:rPr>
              <w:t xml:space="preserve">0,02993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Raça (negro)</w:t>
            </w:r>
          </w:p>
        </w:tc>
        <w:tc>
          <w:tcPr>
            <w:tcW w:type="dxa" w:w="1602"/>
            <w:vAlign w:val="top"/>
          </w:tcPr>
          <w:p>
            <w:pPr>
              <w:pStyle w:val="Compact"/>
              <w:keepNext/>
              <w:spacing w:line="240" w:lineRule="auto" w:after="80"/>
              <w:ind w:firstLine="0"/>
              <w:jc w:val="right"/>
            </w:pPr>
            <w:r>
              <w:rPr>
                <w:rFonts w:ascii="Arial" w:hAnsi="Arial"/>
                <w:b w:val="0"/>
                <w:sz w:val="20"/>
              </w:rPr>
              <w:t xml:space="preserve">0,00222</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c>
          <w:tcPr>
            <w:tcW w:type="dxa" w:w="1602"/>
            <w:vAlign w:val="top"/>
          </w:tcPr>
          <w:p>
            <w:pPr>
              <w:pStyle w:val="Compact"/>
              <w:keepNext/>
              <w:spacing w:line="240" w:lineRule="auto" w:after="80"/>
              <w:ind w:firstLine="0"/>
              <w:jc w:val="right"/>
            </w:pPr>
            <w:r>
              <w:rPr>
                <w:rFonts w:ascii="Arial" w:hAnsi="Arial"/>
                <w:b w:val="0"/>
                <w:sz w:val="20"/>
              </w:rPr>
              <w:t xml:space="preserve">0,02656</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Serviços/Vendas</w:t>
            </w:r>
          </w:p>
        </w:tc>
        <w:tc>
          <w:tcPr>
            <w:tcW w:type="dxa" w:w="1602"/>
            <w:vAlign w:val="top"/>
          </w:tcPr>
          <w:p>
            <w:pPr>
              <w:pStyle w:val="Compact"/>
              <w:keepNext/>
              <w:spacing w:line="240" w:lineRule="auto" w:after="80"/>
              <w:ind w:firstLine="0"/>
              <w:jc w:val="right"/>
            </w:pPr>
            <w:r>
              <w:rPr>
                <w:rFonts w:ascii="Arial" w:hAnsi="Arial"/>
                <w:b w:val="0"/>
                <w:sz w:val="20"/>
              </w:rPr>
              <w:t xml:space="preserve">0,00197</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c>
          <w:tcPr>
            <w:tcW w:type="dxa" w:w="1602"/>
            <w:vAlign w:val="top"/>
          </w:tcPr>
          <w:p>
            <w:pPr>
              <w:pStyle w:val="Compact"/>
              <w:keepNext/>
              <w:spacing w:line="240" w:lineRule="auto" w:after="80"/>
              <w:ind w:firstLine="0"/>
              <w:jc w:val="right"/>
            </w:pPr>
            <w:r>
              <w:rPr>
                <w:rFonts w:ascii="Arial" w:hAnsi="Arial"/>
                <w:b w:val="0"/>
                <w:sz w:val="20"/>
              </w:rPr>
              <w:t xml:space="preserve">0,02448</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Operários</w:t>
            </w:r>
          </w:p>
        </w:tc>
        <w:tc>
          <w:tcPr>
            <w:tcW w:type="dxa" w:w="1602"/>
            <w:vAlign w:val="top"/>
          </w:tcPr>
          <w:p>
            <w:pPr>
              <w:pStyle w:val="Compact"/>
              <w:keepNext/>
              <w:spacing w:line="240" w:lineRule="auto" w:after="80"/>
              <w:ind w:firstLine="0"/>
              <w:jc w:val="right"/>
            </w:pPr>
            <w:r>
              <w:rPr>
                <w:rFonts w:ascii="Arial" w:hAnsi="Arial"/>
                <w:b w:val="0"/>
                <w:sz w:val="20"/>
              </w:rPr>
              <w:t xml:space="preserve">0,00109</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c>
          <w:tcPr>
            <w:tcW w:type="dxa" w:w="1602"/>
            <w:vAlign w:val="top"/>
          </w:tcPr>
          <w:p>
            <w:pPr>
              <w:pStyle w:val="Compact"/>
              <w:keepNext/>
              <w:spacing w:line="240" w:lineRule="auto" w:after="80"/>
              <w:ind w:firstLine="0"/>
              <w:jc w:val="right"/>
            </w:pPr>
            <w:r>
              <w:rPr>
                <w:rFonts w:ascii="Arial" w:hAnsi="Arial"/>
                <w:b w:val="0"/>
                <w:sz w:val="20"/>
              </w:rPr>
              <w:t xml:space="preserve">0,02231</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 Máquinas</w:t>
            </w:r>
          </w:p>
        </w:tc>
        <w:tc>
          <w:tcPr>
            <w:tcW w:type="dxa" w:w="1602"/>
            <w:vAlign w:val="top"/>
          </w:tcPr>
          <w:p>
            <w:pPr>
              <w:pStyle w:val="Compact"/>
              <w:keepNext/>
              <w:spacing w:line="240" w:lineRule="auto" w:after="80"/>
              <w:ind w:firstLine="0"/>
              <w:jc w:val="right"/>
            </w:pPr>
            <w:r>
              <w:rPr>
                <w:rFonts w:ascii="Arial" w:hAnsi="Arial"/>
                <w:b w:val="0"/>
                <w:sz w:val="20"/>
              </w:rPr>
              <w:t xml:space="preserve">0,00258</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c>
          <w:tcPr>
            <w:tcW w:type="dxa" w:w="1602"/>
            <w:vAlign w:val="top"/>
          </w:tcPr>
          <w:p>
            <w:pPr>
              <w:pStyle w:val="Compact"/>
              <w:keepNext/>
              <w:spacing w:line="240" w:lineRule="auto" w:after="80"/>
              <w:ind w:firstLine="0"/>
              <w:jc w:val="right"/>
            </w:pPr>
            <w:r>
              <w:rPr>
                <w:rFonts w:ascii="Arial" w:hAnsi="Arial"/>
                <w:b w:val="0"/>
                <w:sz w:val="20"/>
              </w:rPr>
              <w:t xml:space="preserve">0,02144</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UPA</w:t>
            </w:r>
          </w:p>
        </w:tc>
        <w:tc>
          <w:tcPr>
            <w:tcW w:type="dxa" w:w="1602"/>
            <w:vAlign w:val="top"/>
          </w:tcPr>
          <w:p>
            <w:pPr>
              <w:pStyle w:val="Compact"/>
              <w:keepNext/>
              <w:spacing w:line="240" w:lineRule="auto" w:after="80"/>
              <w:ind w:firstLine="0"/>
              <w:jc w:val="right"/>
            </w:pPr>
            <w:r>
              <w:rPr>
                <w:rFonts w:ascii="Arial" w:hAnsi="Arial"/>
                <w:b w:val="0"/>
                <w:sz w:val="20"/>
              </w:rPr>
              <w:t xml:space="preserve">0,00033</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c>
          <w:tcPr>
            <w:tcW w:type="dxa" w:w="1602"/>
            <w:vAlign w:val="top"/>
          </w:tcPr>
          <w:p>
            <w:pPr>
              <w:pStyle w:val="Compact"/>
              <w:keepNext/>
              <w:spacing w:line="240" w:lineRule="auto" w:after="80"/>
              <w:ind w:firstLine="0"/>
              <w:jc w:val="right"/>
            </w:pPr>
            <w:r>
              <w:rPr>
                <w:rFonts w:ascii="Arial" w:hAnsi="Arial"/>
                <w:b w:val="0"/>
                <w:sz w:val="20"/>
              </w:rPr>
              <w:t xml:space="preserve">0,01753</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pós-graduação</w:t>
            </w:r>
          </w:p>
        </w:tc>
        <w:tc>
          <w:tcPr>
            <w:tcW w:type="dxa" w:w="1602"/>
            <w:vAlign w:val="top"/>
          </w:tcPr>
          <w:p>
            <w:pPr>
              <w:pStyle w:val="Compact"/>
              <w:keepNext/>
              <w:spacing w:line="240" w:lineRule="auto" w:after="80"/>
              <w:ind w:firstLine="0"/>
              <w:jc w:val="right"/>
            </w:pPr>
            <w:r>
              <w:rPr>
                <w:rFonts w:ascii="Arial" w:hAnsi="Arial"/>
                <w:b w:val="0"/>
                <w:sz w:val="20"/>
              </w:rPr>
              <w:t xml:space="preserve">0,01489</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c>
          <w:tcPr>
            <w:tcW w:type="dxa" w:w="1602"/>
            <w:vAlign w:val="top"/>
          </w:tcPr>
          <w:p>
            <w:pPr>
              <w:pStyle w:val="Compact"/>
              <w:keepNext/>
              <w:spacing w:line="240" w:lineRule="auto" w:after="80"/>
              <w:ind w:firstLine="0"/>
              <w:jc w:val="right"/>
            </w:pPr>
            <w:r>
              <w:rPr>
                <w:rFonts w:ascii="Arial" w:hAnsi="Arial"/>
                <w:b w:val="0"/>
                <w:sz w:val="20"/>
              </w:rPr>
              <w:t xml:space="preserve">0,01690</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Trabalho doméstico</w:t>
            </w:r>
          </w:p>
        </w:tc>
        <w:tc>
          <w:tcPr>
            <w:tcW w:type="dxa" w:w="1602"/>
            <w:vAlign w:val="top"/>
          </w:tcPr>
          <w:p>
            <w:pPr>
              <w:pStyle w:val="Compact"/>
              <w:keepNext/>
              <w:spacing w:line="240" w:lineRule="auto" w:after="80"/>
              <w:ind w:firstLine="0"/>
              <w:jc w:val="right"/>
            </w:pPr>
            <w:r>
              <w:rPr>
                <w:rFonts w:ascii="Arial" w:hAnsi="Arial"/>
                <w:b w:val="0"/>
                <w:sz w:val="20"/>
              </w:rPr>
              <w:t xml:space="preserve">0,00549</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c>
          <w:tcPr>
            <w:tcW w:type="dxa" w:w="1602"/>
            <w:vAlign w:val="top"/>
          </w:tcPr>
          <w:p>
            <w:pPr>
              <w:pStyle w:val="Compact"/>
              <w:keepNext/>
              <w:spacing w:line="240" w:lineRule="auto" w:after="80"/>
              <w:ind w:firstLine="0"/>
              <w:jc w:val="right"/>
            </w:pPr>
            <w:r>
              <w:rPr>
                <w:rFonts w:ascii="Arial" w:hAnsi="Arial"/>
                <w:b w:val="0"/>
                <w:sz w:val="20"/>
              </w:rPr>
              <w:t xml:space="preserve">0,01658</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no Estado</w:t>
            </w:r>
          </w:p>
        </w:tc>
        <w:tc>
          <w:tcPr>
            <w:tcW w:type="dxa" w:w="1602"/>
            <w:vAlign w:val="top"/>
          </w:tcPr>
          <w:p>
            <w:pPr>
              <w:pStyle w:val="Compact"/>
              <w:keepNext/>
              <w:spacing w:line="240" w:lineRule="auto" w:after="80"/>
              <w:ind w:firstLine="0"/>
              <w:jc w:val="right"/>
            </w:pPr>
            <w:r>
              <w:rPr>
                <w:rFonts w:ascii="Arial" w:hAnsi="Arial"/>
                <w:b w:val="0"/>
                <w:sz w:val="20"/>
              </w:rPr>
              <w:t xml:space="preserve">0,00038</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c>
          <w:tcPr>
            <w:tcW w:type="dxa" w:w="1602"/>
            <w:vAlign w:val="top"/>
          </w:tcPr>
          <w:p>
            <w:pPr>
              <w:pStyle w:val="Compact"/>
              <w:keepNext/>
              <w:spacing w:line="240" w:lineRule="auto" w:after="80"/>
              <w:ind w:firstLine="0"/>
              <w:jc w:val="right"/>
            </w:pPr>
            <w:r>
              <w:rPr>
                <w:rFonts w:ascii="Arial" w:hAnsi="Arial"/>
                <w:b w:val="0"/>
                <w:sz w:val="20"/>
              </w:rPr>
              <w:t xml:space="preserve">0,01634</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Agropecuária</w:t>
            </w:r>
          </w:p>
        </w:tc>
        <w:tc>
          <w:tcPr>
            <w:tcW w:type="dxa" w:w="1602"/>
            <w:vAlign w:val="top"/>
          </w:tcPr>
          <w:p>
            <w:pPr>
              <w:pStyle w:val="Compact"/>
              <w:keepNext/>
              <w:spacing w:line="240" w:lineRule="auto" w:after="80"/>
              <w:ind w:firstLine="0"/>
              <w:jc w:val="right"/>
            </w:pPr>
            <w:r>
              <w:rPr>
                <w:rFonts w:ascii="Arial" w:hAnsi="Arial"/>
                <w:b w:val="0"/>
                <w:sz w:val="20"/>
              </w:rPr>
              <w:t xml:space="preserve">0,00070</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c>
          <w:tcPr>
            <w:tcW w:type="dxa" w:w="1602"/>
            <w:vAlign w:val="top"/>
          </w:tcPr>
          <w:p>
            <w:pPr>
              <w:pStyle w:val="Compact"/>
              <w:keepNext/>
              <w:spacing w:line="240" w:lineRule="auto" w:after="80"/>
              <w:ind w:firstLine="0"/>
              <w:jc w:val="right"/>
            </w:pPr>
            <w:r>
              <w:rPr>
                <w:rFonts w:ascii="Arial" w:hAnsi="Arial"/>
                <w:b w:val="0"/>
                <w:sz w:val="20"/>
              </w:rPr>
              <w:t xml:space="preserve">0,01471</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 Negro no Estado</w:t>
            </w:r>
          </w:p>
        </w:tc>
        <w:tc>
          <w:tcPr>
            <w:tcW w:type="dxa" w:w="1602"/>
            <w:vAlign w:val="top"/>
          </w:tcPr>
          <w:p>
            <w:pPr>
              <w:pStyle w:val="Compact"/>
              <w:keepNext/>
              <w:spacing w:line="240" w:lineRule="auto" w:after="80"/>
              <w:ind w:firstLine="0"/>
              <w:jc w:val="right"/>
            </w:pPr>
            <w:r>
              <w:rPr>
                <w:rFonts w:ascii="Arial" w:hAnsi="Arial"/>
                <w:b w:val="0"/>
                <w:sz w:val="20"/>
              </w:rPr>
              <w:t xml:space="preserve">0,00449</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c>
          <w:tcPr>
            <w:tcW w:type="dxa" w:w="1602"/>
            <w:vAlign w:val="top"/>
          </w:tcPr>
          <w:p>
            <w:pPr>
              <w:pStyle w:val="Compact"/>
              <w:keepNext/>
              <w:spacing w:line="240" w:lineRule="auto" w:after="80"/>
              <w:ind w:firstLine="0"/>
              <w:jc w:val="right"/>
            </w:pPr>
            <w:r>
              <w:rPr>
                <w:rFonts w:ascii="Arial" w:hAnsi="Arial"/>
                <w:b w:val="0"/>
                <w:sz w:val="20"/>
              </w:rPr>
              <w:t xml:space="preserve">0,01316</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Idade² (experiência)</w:t>
            </w:r>
          </w:p>
        </w:tc>
        <w:tc>
          <w:tcPr>
            <w:tcW w:type="dxa" w:w="1602"/>
            <w:vAlign w:val="top"/>
          </w:tcPr>
          <w:p>
            <w:pPr>
              <w:pStyle w:val="Compact"/>
              <w:keepNext/>
              <w:spacing w:line="240" w:lineRule="auto" w:after="80"/>
              <w:ind w:firstLine="0"/>
              <w:jc w:val="right"/>
            </w:pPr>
            <w:r>
              <w:rPr>
                <w:rFonts w:ascii="Arial" w:hAnsi="Arial"/>
                <w:b w:val="0"/>
                <w:sz w:val="20"/>
              </w:rPr>
              <w:t xml:space="preserve">0,00657</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c>
          <w:tcPr>
            <w:tcW w:type="dxa" w:w="1602"/>
            <w:vAlign w:val="top"/>
          </w:tcPr>
          <w:p>
            <w:pPr>
              <w:pStyle w:val="Compact"/>
              <w:keepNext/>
              <w:spacing w:line="240" w:lineRule="auto" w:after="80"/>
              <w:ind w:firstLine="0"/>
              <w:jc w:val="right"/>
            </w:pPr>
            <w:r>
              <w:rPr>
                <w:rFonts w:ascii="Arial" w:hAnsi="Arial"/>
                <w:b w:val="0"/>
                <w:sz w:val="20"/>
              </w:rPr>
              <w:t xml:space="preserve">0,01274</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Administrativo</w:t>
            </w:r>
          </w:p>
        </w:tc>
        <w:tc>
          <w:tcPr>
            <w:tcW w:type="dxa" w:w="1602"/>
            <w:vAlign w:val="top"/>
          </w:tcPr>
          <w:p>
            <w:pPr>
              <w:pStyle w:val="Compact"/>
              <w:keepNext/>
              <w:spacing w:line="240" w:lineRule="auto" w:after="80"/>
              <w:ind w:firstLine="0"/>
              <w:jc w:val="right"/>
            </w:pPr>
            <w:r>
              <w:rPr>
                <w:rFonts w:ascii="Arial" w:hAnsi="Arial"/>
                <w:b w:val="0"/>
                <w:sz w:val="20"/>
              </w:rPr>
              <w:t xml:space="preserve">0,00348</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c>
          <w:tcPr>
            <w:tcW w:type="dxa" w:w="1602"/>
            <w:vAlign w:val="top"/>
          </w:tcPr>
          <w:p>
            <w:pPr>
              <w:pStyle w:val="Compact"/>
              <w:keepNext/>
              <w:spacing w:line="240" w:lineRule="auto" w:after="80"/>
              <w:ind w:firstLine="0"/>
              <w:jc w:val="right"/>
            </w:pPr>
            <w:r>
              <w:rPr>
                <w:rFonts w:ascii="Arial" w:hAnsi="Arial"/>
                <w:b w:val="0"/>
                <w:sz w:val="20"/>
              </w:rPr>
              <w:t xml:space="preserve">0,01216</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FFAA/Polícia</w:t>
            </w:r>
          </w:p>
        </w:tc>
        <w:tc>
          <w:tcPr>
            <w:tcW w:type="dxa" w:w="1602"/>
            <w:vAlign w:val="top"/>
          </w:tcPr>
          <w:p>
            <w:pPr>
              <w:pStyle w:val="Compact"/>
              <w:keepNext/>
              <w:spacing w:line="240" w:lineRule="auto" w:after="80"/>
              <w:ind w:firstLine="0"/>
              <w:jc w:val="right"/>
            </w:pPr>
            <w:r>
              <w:rPr>
                <w:rFonts w:ascii="Arial" w:hAnsi="Arial"/>
                <w:b w:val="0"/>
                <w:sz w:val="20"/>
              </w:rPr>
              <w:t xml:space="preserve">0,00803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c>
          <w:tcPr>
            <w:tcW w:type="dxa" w:w="1602"/>
            <w:vAlign w:val="top"/>
          </w:tcPr>
          <w:p>
            <w:pPr>
              <w:pStyle w:val="Compact"/>
              <w:keepNext/>
              <w:spacing w:line="240" w:lineRule="auto" w:after="80"/>
              <w:ind w:firstLine="0"/>
              <w:jc w:val="right"/>
            </w:pPr>
            <w:r>
              <w:rPr>
                <w:rFonts w:ascii="Arial" w:hAnsi="Arial"/>
                <w:b w:val="0"/>
                <w:sz w:val="20"/>
              </w:rPr>
              <w:t xml:space="preserve">0,01121</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na UPA</w:t>
            </w:r>
          </w:p>
        </w:tc>
        <w:tc>
          <w:tcPr>
            <w:tcW w:type="dxa" w:w="1602"/>
            <w:vAlign w:val="top"/>
          </w:tcPr>
          <w:p>
            <w:pPr>
              <w:pStyle w:val="Compact"/>
              <w:keepNext/>
              <w:spacing w:line="240" w:lineRule="auto" w:after="80"/>
              <w:ind w:firstLine="0"/>
              <w:jc w:val="right"/>
            </w:pPr>
            <w:r>
              <w:rPr>
                <w:rFonts w:ascii="Arial" w:hAnsi="Arial"/>
                <w:b w:val="0"/>
                <w:sz w:val="20"/>
              </w:rPr>
              <w:t xml:space="preserve">0,00013</w:t>
            </w:r>
          </w:p>
        </w:tc>
        <w:tc>
          <w:tcPr>
            <w:tcW w:type="dxa" w:w="915"/>
            <w:vAlign w:val="top"/>
          </w:tcPr>
          <w:p>
            <w:pPr>
              <w:pStyle w:val="Compact"/>
              <w:keepNext/>
              <w:spacing w:line="240" w:lineRule="auto" w:after="80"/>
              <w:ind w:firstLine="0"/>
              <w:jc w:val="right"/>
            </w:pPr>
            <w:r>
              <w:rPr>
                <w:rFonts w:ascii="Arial" w:hAnsi="Arial"/>
                <w:b w:val="0"/>
                <w:sz w:val="20"/>
              </w:rPr>
              <w:t xml:space="preserve">28</w:t>
            </w:r>
          </w:p>
        </w:tc>
        <w:tc>
          <w:tcPr>
            <w:tcW w:type="dxa" w:w="1602"/>
            <w:vAlign w:val="top"/>
          </w:tcPr>
          <w:p>
            <w:pPr>
              <w:pStyle w:val="Compact"/>
              <w:keepNext/>
              <w:spacing w:line="240" w:lineRule="auto" w:after="80"/>
              <w:ind w:firstLine="0"/>
              <w:jc w:val="right"/>
            </w:pPr>
            <w:r>
              <w:rPr>
                <w:rFonts w:ascii="Arial" w:hAnsi="Arial"/>
                <w:b w:val="0"/>
                <w:sz w:val="20"/>
              </w:rPr>
              <w:t xml:space="preserve">0,00787</w:t>
            </w:r>
          </w:p>
        </w:tc>
        <w:tc>
          <w:tcPr>
            <w:tcW w:type="dxa" w:w="915"/>
            <w:vAlign w:val="top"/>
          </w:tcPr>
          <w:p>
            <w:pPr>
              <w:pStyle w:val="Compact"/>
              <w:keepNext/>
              <w:spacing w:line="240" w:lineRule="auto" w:after="8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0,00023</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27</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0,00731</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28</w:t>
            </w:r>
          </w:p>
        </w:tc>
      </w:tr>
    </w:tbl>
    <w:bookmarkEnd w:id="10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w:t>
      </w:r>
      <w:r>
        <w:rPr>
          <w:rFonts w:ascii="Arial" w:hAnsi="Arial"/>
          <w:sz w:val="22"/>
        </w:rPr>
        <w:t xml:space="preserve">. </w:t>
      </w:r>
      <w:r>
        <w:rPr>
          <w:rFonts w:ascii="Arial" w:hAnsi="Arial"/>
          <w:sz w:val="22"/>
        </w:rPr>
        <w:t>Como ler a Tabela 16: variáveis ordenadas pela importância média (</w:t>
      </w:r>
      <m:oMath>
        <m:r>
          <m:rPr>
            <m:sty m:val="p"/>
          </m:rPr>
          <m:t>|</m:t>
        </m:r>
        <m:r>
          <m:rPr>
            <m:nor/>
            <m:sty m:val="p"/>
          </m:rPr>
          <m:t>SHAP</m:t>
        </m:r>
        <m:r>
          <m:rPr>
            <m:sty m:val="p"/>
          </m:rPr>
          <m:t>|</m:t>
        </m:r>
      </m:oMath>
      <w:r>
        <w:rPr>
          <w:rFonts w:ascii="Arial" w:hAnsi="Arial"/>
          <w:sz w:val="22"/>
        </w:rPr>
        <w:t>); valores maiores = maior peso na previsão da renda</w:t>
      </w:r>
    </w:p>
    <w:bookmarkStart w:id="106" w:name="fig:shap"/>
    <w:p>
      <w:pPr>
        <w:pStyle w:val="CaptionedFigure"/>
        <w:keepNext/>
        <w:keepLines/>
      </w:pPr>
      <w:r>
        <w:rPr>
          <w:rFonts w:ascii="Arial" w:hAnsi="Arial"/>
          <w:sz w:val="22"/>
        </w:rPr>
        <w:drawing>
          <wp:inline>
            <wp:extent cx="5292852" cy="3863861"/>
            <wp:effectExtent b="0" l="0" r="0" t="0"/>
            <wp:docPr descr="" title="" id="104" name="Picture"/>
            <a:graphic>
              <a:graphicData uri="http://schemas.openxmlformats.org/drawingml/2006/picture">
                <pic:pic>
                  <pic:nvPicPr>
                    <pic:cNvPr descr="outputs/figures/shap_beeswarm_xgb_tcc.png" id="105" name="Picture"/>
                    <pic:cNvPicPr>
                      <a:picLocks noChangeArrowheads="1" noChangeAspect="1"/>
                    </pic:cNvPicPr>
                  </pic:nvPicPr>
                  <pic:blipFill>
                    <a:blip r:embed="rId103"/>
                    <a:stretch>
                      <a:fillRect/>
                    </a:stretch>
                  </pic:blipFill>
                  <pic:spPr bwMode="auto">
                    <a:xfrm>
                      <a:off x="0" y="0"/>
                      <a:ext cx="5292852" cy="386386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Figura 8.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6"/>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8: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16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07"/>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08"/>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16</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9 ilustra como a previsão de dois casos individuais é composta.</w:t>
      </w:r>
    </w:p>
    <w:bookmarkStart w:id="112" w:name="fig:shap_wf"/>
    <w:p>
      <w:pPr>
        <w:pStyle w:val="CaptionedFigure"/>
        <w:keepNext/>
        <w:keepLines/>
      </w:pPr>
      <w:r>
        <w:rPr>
          <w:rFonts w:ascii="Arial" w:hAnsi="Arial"/>
          <w:sz w:val="22"/>
        </w:rPr>
        <w:drawing>
          <wp:inline>
            <wp:extent cx="3566922" cy="6538900"/>
            <wp:effectExtent b="0" l="0" r="0" t="0"/>
            <wp:docPr descr="" title="" id="110" name="Picture"/>
            <a:graphic>
              <a:graphicData uri="http://schemas.openxmlformats.org/drawingml/2006/picture">
                <pic:pic>
                  <pic:nvPicPr>
                    <pic:cNvPr descr="outputs/figures/shap_waterfall_AB_xgb.png" id="111" name="Picture"/>
                    <pic:cNvPicPr>
                      <a:picLocks noChangeArrowheads="1" noChangeAspect="1"/>
                    </pic:cNvPicPr>
                  </pic:nvPicPr>
                  <pic:blipFill>
                    <a:blip r:embed="rId109"/>
                    <a:stretch>
                      <a:fillRect/>
                    </a:stretch>
                  </pic:blipFill>
                  <pic:spPr bwMode="auto">
                    <a:xfrm>
                      <a:off x="0" y="0"/>
                      <a:ext cx="3566922" cy="6538900"/>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 painel A é o trabalhador branco, e o B, o</w:t>
      </w:r>
      <w:r>
        <w:rPr>
          <w:rFonts w:ascii="Arial" w:hAnsi="Arial"/>
          <w:sz w:val="22"/>
        </w:rPr>
        <w:t xml:space="preserve"> </w:t>
      </w:r>
      <w:r>
        <w:rPr>
          <w:rFonts w:ascii="Arial" w:hAnsi="Arial"/>
          <w:sz w:val="22"/>
        </w:rPr>
        <w:t xml:space="preserve">negro.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bookmarkEnd w:id="11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9: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8, sobre os 50 mil casos</w:t>
      </w:r>
    </w:p>
    <w:bookmarkEnd w:id="113"/>
    <w:bookmarkStart w:id="116"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14" w:name="subsec:vif"/>
      <w:bookmarkEnd w:id="114"/>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15"/>
      </w:r>
      <w:r>
        <w:rPr>
          <w:rFonts w:ascii="Arial" w:hAnsi="Arial"/>
          <w:sz w:val="22"/>
        </w:rPr>
        <w:t xml:space="preserve"> </w:t>
      </w:r>
      <w:r>
        <w:rPr>
          <w:rFonts w:ascii="Arial" w:hAnsi="Arial"/>
          <w:sz w:val="22"/>
        </w:rPr>
        <w:t>Nenhum preditor do M4 tem VIF acima de dez;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16"/>
    <w:bookmarkStart w:id="124"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a decomposição de dotações,</w:t>
      </w:r>
      <w:r>
        <w:rPr>
          <w:rFonts w:ascii="Arial" w:hAnsi="Arial"/>
          <w:sz w:val="22"/>
        </w:rPr>
        <w:t xml:space="preserve"> </w:t>
      </w:r>
      <w:r>
        <w:rPr>
          <w:rFonts w:ascii="Arial" w:hAnsi="Arial"/>
          <w:sz w:val="22"/>
        </w:rPr>
        <w:t xml:space="preserve">“de que ele é feito”</w:t>
      </w:r>
      <w:r>
        <w:rPr>
          <w:rFonts w:ascii="Arial" w:hAnsi="Arial"/>
          <w:sz w:val="22"/>
        </w:rPr>
        <w:t>;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17"/>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18"/>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1% na pós-graduação (Figura 10); a desvantagem de acesso, não: com superior completo, as chances de um trabalhador negro chegar a um cargo qualificado seguem 18% menores que as de um branco de mesmo perfil e bairro, e com pós-graduação, 23% menores (GLMM, degrau A4, Tabela 8).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bookmarkStart w:id="122" w:name="fig:hlm_negro_educ"/>
    <w:p>
      <w:pPr>
        <w:pStyle w:val="CaptionedFigure"/>
        <w:keepNext/>
        <w:keepLines/>
      </w:pPr>
      <w:r>
        <w:rPr>
          <w:rFonts w:ascii="Arial" w:hAnsi="Arial"/>
          <w:sz w:val="22"/>
        </w:rPr>
        <w:drawing>
          <wp:inline>
            <wp:extent cx="5177790" cy="3034954"/>
            <wp:effectExtent b="0" l="0" r="0" t="0"/>
            <wp:docPr descr="" title="" id="120" name="Picture"/>
            <a:graphic>
              <a:graphicData uri="http://schemas.openxmlformats.org/drawingml/2006/picture">
                <pic:pic>
                  <pic:nvPicPr>
                    <pic:cNvPr descr="outputs/figures/hlm_negro_por_educ_retas.png" id="121" name="Picture"/>
                    <pic:cNvPicPr>
                      <a:picLocks noChangeArrowheads="1" noChangeAspect="1"/>
                    </pic:cNvPicPr>
                  </pic:nvPicPr>
                  <pic:blipFill>
                    <a:blip r:embed="rId119"/>
                    <a:stretch>
                      <a:fillRect/>
                    </a:stretch>
                  </pic:blipFill>
                  <pic:spPr bwMode="auto">
                    <a:xfrm>
                      <a:off x="0" y="0"/>
                      <a:ext cx="5177790" cy="3034954"/>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10.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12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10: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3"/>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2023c)</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2023a)</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boa parte dos servidores ocupados entrou antes dela.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2023b)</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w:t>
      </w:r>
      <w:r>
        <w:rPr>
          <w:rFonts w:ascii="Arial" w:hAnsi="Arial"/>
          <w:sz w:val="22"/>
        </w:rPr>
        <w:t xml:space="preserve"> </w:t>
      </w:r>
      <w:r>
        <w:rPr>
          <w:rFonts w:ascii="Arial" w:hAnsi="Arial"/>
          <w:sz w:val="22"/>
        </w:rPr>
        <w:t xml:space="preserve">(Brasil, 1995)</w:t>
      </w:r>
      <w:r>
        <w:rPr>
          <w:rFonts w:ascii="Arial" w:hAnsi="Arial"/>
          <w:sz w:val="22"/>
        </w:rPr>
        <w:t xml:space="preserve"> </w:t>
      </w:r>
      <w:r>
        <w:rPr>
          <w:rFonts w:ascii="Arial" w:hAnsi="Arial"/>
          <w:sz w:val="22"/>
        </w:rPr>
        <w:t xml:space="preserve">e o Estatuto da Igualdade Racial</w:t>
      </w:r>
      <w:r>
        <w:rPr>
          <w:rFonts w:ascii="Arial" w:hAnsi="Arial"/>
          <w:sz w:val="22"/>
        </w:rPr>
        <w:t xml:space="preserve"> </w:t>
      </w:r>
      <w:r>
        <w:rPr>
          <w:rFonts w:ascii="Arial" w:hAnsi="Arial"/>
          <w:sz w:val="22"/>
        </w:rPr>
        <w:t xml:space="preserve">(Brasil, 2010)</w:t>
      </w:r>
      <w:r>
        <w:rPr>
          <w:rFonts w:ascii="Arial" w:hAnsi="Arial"/>
          <w:sz w:val="22"/>
        </w:rPr>
        <w:t xml:space="preserve"> </w:t>
      </w:r>
      <w:r>
        <w:rPr>
          <w:rFonts w:ascii="Arial" w:hAnsi="Arial"/>
          <w:sz w:val="22"/>
        </w:rPr>
        <w:t xml:space="preserve">já oferecem.</w:t>
      </w:r>
      <w:r>
        <w:rPr>
          <w:rFonts w:ascii="Arial" w:hAnsi="Arial"/>
          <w:sz w:val="22"/>
        </w:rPr>
        <w:t xml:space="preserve"> </w:t>
      </w:r>
      <w:r>
        <w:rPr>
          <w:rFonts w:ascii="Arial" w:hAnsi="Arial"/>
          <w:b/>
          <w:bCs/>
          <w:sz w:val="22"/>
        </w:rPr>
        <w:t xml:space="preserve">(iii) Um componente territorial</w:t>
      </w:r>
      <w:r>
        <w:rPr>
          <w:rFonts w:ascii="Arial" w:hAnsi="Arial"/>
          <w:sz w:val="22"/>
        </w:rPr>
        <w:t>.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(Marques, 2010; Wilson, 1987; Sampson et al., 1997)</w:t>
      </w:r>
      <w:r>
        <w:rPr>
          <w:rFonts w:ascii="Arial" w:hAnsi="Arial"/>
          <w:sz w:val="22"/>
        </w:rPr>
        <w:t xml:space="preserve"> </w:t>
      </w:r>
      <w:r>
        <w:rPr>
          <w:rFonts w:ascii="Arial" w:hAnsi="Arial"/>
          <w:sz w:val="22"/>
        </w:rPr>
        <w:t>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4"/>
    <w:bookmarkStart w:id="125"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5"/>
    <w:bookmarkStart w:id="126"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6"/>
    <w:bookmarkEnd w:id="127"/>
    <w:bookmarkStart w:id="128"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28"/>
    <w:bookmarkStart w:id="177" w:name="referências"/>
    <w:p>
      <w:pPr>
        <w:pStyle w:val="Heading1"/>
        <w:spacing w:line="360" w:lineRule="auto" w:before="280" w:after="280"/>
        <w:ind w:firstLine="0" w:left="0"/>
        <w:jc w:val="left"/>
      </w:pPr>
      <w:r>
        <w:rPr>
          <w:rFonts w:ascii="Arial" w:hAnsi="Arial"/>
          <w:b/>
          <w:sz w:val="22"/>
        </w:rPr>
        <w:t xml:space="preserve">Referências</w:t>
      </w:r>
    </w:p>
    <w:bookmarkStart w:id="176" w:name="refs"/>
    <w:bookmarkStart w:id="129" w:name="ref-alencar2026a"/>
    <w:p>
      <w:pPr>
        <w:pStyle w:val="Bibliography"/>
        <w:spacing w:line="240" w:lineRule="auto" w:before="0" w:after="120"/>
        <w:ind w:firstLine="0" w:left="0"/>
        <w:jc w:val="left"/>
      </w:pPr>
      <w:r>
        <w:rPr>
          <w:rFonts w:ascii="Arial" w:hAnsi="Arial"/>
          <w:sz w:val="22"/>
        </w:rPr>
        <w:t xml:space="preserve">Alencar, V. 2026a. Árvores, Redes e Ensembles</w:t>
      </w:r>
      <w:r>
        <w:rPr>
          <w:rFonts w:ascii="Arial" w:hAnsi="Arial"/>
          <w:sz w:val="22"/>
        </w:rPr>
        <w:t xml:space="preserve"> </w:t>
      </w:r>
      <w:r>
        <w:rPr>
          <w:rFonts w:ascii="Arial" w:hAnsi="Arial"/>
          <w:sz w:val="22"/>
        </w:rPr>
        <w:t xml:space="preserve">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29"/>
    <w:bookmarkStart w:id="130" w:name="ref-alencar2026b"/>
    <w:p>
      <w:pPr>
        <w:pStyle w:val="Bibliography"/>
        <w:spacing w:line="240" w:lineRule="auto" w:before="0" w:after="120"/>
        <w:ind w:firstLine="0" w:left="0"/>
        <w:jc w:val="left"/>
      </w:pPr>
      <w:r>
        <w:rPr>
          <w:rFonts w:ascii="Arial" w:hAnsi="Arial"/>
          <w:sz w:val="22"/>
        </w:rPr>
        <w:t xml:space="preserve">Alencar, V. 2026b. Árvores, Redes e Ensembles</w:t>
      </w:r>
      <w:r>
        <w:rPr>
          <w:rFonts w:ascii="Arial" w:hAnsi="Arial"/>
          <w:sz w:val="22"/>
        </w:rPr>
        <w:t xml:space="preserve"> </w:t>
      </w:r>
      <w:r>
        <w:rPr>
          <w:rFonts w:ascii="Arial" w:hAnsi="Arial"/>
          <w:sz w:val="22"/>
        </w:rPr>
        <w:t xml:space="preserve">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0"/>
    <w:bookmarkStart w:id="131" w:name="ref-alencar2026c"/>
    <w:p>
      <w:pPr>
        <w:pStyle w:val="Bibliography"/>
        <w:spacing w:line="240" w:lineRule="auto" w:before="0" w:after="120"/>
        <w:ind w:firstLine="0" w:left="0"/>
        <w:jc w:val="left"/>
      </w:pPr>
      <w:r>
        <w:rPr>
          <w:rFonts w:ascii="Arial" w:hAnsi="Arial"/>
          <w:sz w:val="22"/>
        </w:rPr>
        <w:t xml:space="preserve">Alencar, V. 2026c. Árvores, Redes e Ensembles</w:t>
      </w:r>
      <w:r>
        <w:rPr>
          <w:rFonts w:ascii="Arial" w:hAnsi="Arial"/>
          <w:sz w:val="22"/>
        </w:rPr>
        <w:t xml:space="preserve"> </w:t>
      </w:r>
      <w:r>
        <w:rPr>
          <w:rFonts w:ascii="Arial" w:hAnsi="Arial"/>
          <w:sz w:val="22"/>
        </w:rPr>
        <w:t xml:space="preserve">III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1"/>
    <w:bookmarkStart w:id="132" w:name="ref-almeida2019"/>
    <w:p>
      <w:pPr>
        <w:pStyle w:val="Bibliography"/>
        <w:spacing w:line="240" w:lineRule="auto" w:before="0" w:after="120"/>
        <w:ind w:firstLine="0" w:left="0"/>
        <w:jc w:val="left"/>
      </w:pPr>
      <w:r>
        <w:rPr>
          <w:rFonts w:ascii="Arial" w:hAnsi="Arial"/>
          <w:sz w:val="22"/>
        </w:rPr>
        <w:t xml:space="preserve">Almeida, S.L. 2019. Racismo Estrutural. Janda</w:t>
      </w:r>
      <w:r>
        <w:rPr>
          <w:rFonts w:ascii="Arial" w:hAnsi="Arial"/>
          <w:sz w:val="22"/>
        </w:rPr>
        <w:t xml:space="preserve">í</w:t>
      </w:r>
      <w:r>
        <w:rPr>
          <w:rFonts w:ascii="Arial" w:hAnsi="Arial"/>
          <w:sz w:val="22"/>
        </w:rPr>
        <w:t xml:space="preserve">ra, S</w:t>
      </w:r>
      <w:r>
        <w:rPr>
          <w:rFonts w:ascii="Arial" w:hAnsi="Arial"/>
          <w:sz w:val="22"/>
        </w:rPr>
        <w:t xml:space="preserve">ã</w:t>
      </w:r>
      <w:r>
        <w:rPr>
          <w:rFonts w:ascii="Arial" w:hAnsi="Arial"/>
          <w:sz w:val="22"/>
        </w:rPr>
        <w:t xml:space="preserve">o Paulo, SP, Brasil.</w:t>
      </w:r>
    </w:p>
    <w:bookmarkEnd w:id="132"/>
    <w:bookmarkStart w:id="133" w:name="ref-angrist2009"/>
    <w:p>
      <w:pPr>
        <w:pStyle w:val="Bibliography"/>
        <w:spacing w:line="240" w:lineRule="auto" w:before="0" w:after="120"/>
        <w:ind w:firstLine="0" w:left="0"/>
        <w:jc w:val="left"/>
      </w:pPr>
      <w:r>
        <w:rPr>
          <w:rFonts w:ascii="Arial" w:hAnsi="Arial"/>
          <w:sz w:val="22"/>
        </w:rPr>
        <w:t>Angrist, J.D.; Pischke, J.-S. 2009. Mostly Harmless Econometrics: An empiricist’s companion. Princeton University Press, Princeton, NJ, EUA.</w:t>
      </w:r>
    </w:p>
    <w:bookmarkEnd w:id="133"/>
    <w:bookmarkStart w:id="134" w:name="ref-arrow1973"/>
    <w:p>
      <w:pPr>
        <w:pStyle w:val="Bibliography"/>
        <w:spacing w:line="240" w:lineRule="auto" w:before="0" w:after="120"/>
        <w:ind w:firstLine="0" w:left="0"/>
        <w:jc w:val="left"/>
      </w:pPr>
      <w:r>
        <w:rPr>
          <w:rFonts w:ascii="Arial" w:hAnsi="Arial"/>
          <w:sz w:val="22"/>
        </w:rPr>
        <w:t>Arrow, K.J. 1973. The theory of discrimination. p. 3-33. In: Ashenfelter, O.; Rees, A. Discrimination in Labor Markets. Princeton University Press, Princeton, NJ, EUA.</w:t>
      </w:r>
    </w:p>
    <w:bookmarkEnd w:id="134"/>
    <w:bookmarkStart w:id="135" w:name="ref-becker1957"/>
    <w:p>
      <w:pPr>
        <w:pStyle w:val="Bibliography"/>
        <w:spacing w:line="240" w:lineRule="auto" w:before="0" w:after="120"/>
        <w:ind w:firstLine="0" w:left="0"/>
        <w:jc w:val="left"/>
      </w:pPr>
      <w:r>
        <w:rPr>
          <w:rFonts w:ascii="Arial" w:hAnsi="Arial"/>
          <w:sz w:val="22"/>
        </w:rPr>
        <w:t xml:space="preserve">Becker, G.S. 1957. The Economics of Discrimination. University of Chicago Press, Chicago, IL, EUA.</w:t>
      </w:r>
    </w:p>
    <w:bookmarkEnd w:id="135"/>
    <w:bookmarkStart w:id="136" w:name="ref-bickel2008"/>
    <w:p>
      <w:pPr>
        <w:pStyle w:val="Bibliography"/>
        <w:spacing w:line="240" w:lineRule="auto" w:before="0" w:after="120"/>
        <w:ind w:firstLine="0" w:left="0"/>
        <w:jc w:val="left"/>
      </w:pPr>
      <w:r>
        <w:rPr>
          <w:rFonts w:ascii="Arial" w:hAnsi="Arial"/>
          <w:sz w:val="22"/>
        </w:rPr>
        <w:t>Bickel, P.J.; Sakov, A. 2008. On the choice of m in the m out of n bootstrap and confidence bounds for extrema. Statistica Sinica 18(3): 967-985.</w:t>
      </w:r>
    </w:p>
    <w:bookmarkEnd w:id="136"/>
    <w:bookmarkStart w:id="137" w:name="ref-blinder1973"/>
    <w:p>
      <w:pPr>
        <w:pStyle w:val="Bibliography"/>
        <w:spacing w:line="240" w:lineRule="auto" w:before="0" w:after="120"/>
        <w:ind w:firstLine="0" w:left="0"/>
        <w:jc w:val="left"/>
      </w:pPr>
      <w:r>
        <w:rPr>
          <w:rFonts w:ascii="Arial" w:hAnsi="Arial"/>
          <w:sz w:val="22"/>
        </w:rPr>
        <w:t>Blinder, A.S. 1973. Wage discrimination: reduced form and structural estimates. Journal of Human Resources 8(4): 436-455.</w:t>
      </w:r>
    </w:p>
    <w:bookmarkEnd w:id="137"/>
    <w:bookmarkStart w:id="138" w:name="ref-brasil1995lei9029"/>
    <w:p>
      <w:pPr>
        <w:pStyle w:val="Bibliography"/>
        <w:spacing w:line="240" w:lineRule="auto" w:before="0" w:after="120"/>
        <w:ind w:firstLine="0" w:left="0"/>
        <w:jc w:val="left"/>
      </w:pPr>
      <w:r>
        <w:rPr>
          <w:rFonts w:ascii="Arial" w:hAnsi="Arial"/>
          <w:sz w:val="22"/>
        </w:rPr>
        <w:t xml:space="preserve">Brasil. 1995. Lei n. 9.029, de 13 de abril de 1995. Proíbe a exigência de atestados de gravidez e esterilização, e outras práticas discriminatórias, para efeitos admissionais ou de permanência da relação jurídica de trabalho. Diário Oficial da União, Brasília, 17 abr. 1995. Seção 1, p. 5361.</w:t>
      </w:r>
    </w:p>
    <w:bookmarkEnd w:id="138"/>
    <w:bookmarkStart w:id="139" w:name="ref-brasil2010lei12288"/>
    <w:p>
      <w:pPr>
        <w:pStyle w:val="Bibliography"/>
        <w:spacing w:line="240" w:lineRule="auto" w:before="0" w:after="120"/>
        <w:ind w:firstLine="0" w:left="0"/>
        <w:jc w:val="left"/>
      </w:pPr>
      <w:r>
        <w:rPr>
          <w:rFonts w:ascii="Arial" w:hAnsi="Arial"/>
          <w:sz w:val="22"/>
        </w:rPr>
        <w:t xml:space="preserve">Brasil. 2010. Lei n. 12.288, de 20 de julho de 2010. Institui o Estatuto da Igualdade Racial. Diário Oficial da União, Brasília, 21 jul. 2010. Seção 1, p. 1.</w:t>
      </w:r>
    </w:p>
    <w:bookmarkEnd w:id="139"/>
    <w:bookmarkStart w:id="140" w:name="ref-brasil2012lei12711"/>
    <w:p>
      <w:pPr>
        <w:pStyle w:val="Bibliography"/>
        <w:spacing w:line="240" w:lineRule="auto" w:before="0" w:after="120"/>
        <w:ind w:firstLine="0" w:left="0"/>
        <w:jc w:val="left"/>
      </w:pPr>
      <w:r>
        <w:rPr>
          <w:rFonts w:ascii="Arial" w:hAnsi="Arial"/>
          <w:sz w:val="22"/>
        </w:rPr>
        <w:t xml:space="preserve">Brasil. 2012. Lei n. 12.711, de 29 de agosto de 2012. Dispõe sobre o ingresso nas universidades federais e nas instituições federais de ensino técnico de nível médio. Diário Oficial da União, Brasília, 30 ago. 2012. Seção 1, p. 1.</w:t>
      </w:r>
    </w:p>
    <w:bookmarkEnd w:id="140"/>
    <w:bookmarkStart w:id="141" w:name="ref-brasil2014lei12990"/>
    <w:p>
      <w:pPr>
        <w:pStyle w:val="Bibliography"/>
        <w:spacing w:line="240" w:lineRule="auto" w:before="0" w:after="120"/>
        <w:ind w:firstLine="0" w:left="0"/>
        <w:jc w:val="left"/>
      </w:pPr>
      <w:r>
        <w:rPr>
          <w:rFonts w:ascii="Arial" w:hAnsi="Arial"/>
          <w:sz w:val="22"/>
        </w:rPr>
        <w:t xml:space="preserve">Brasil. 2014. 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 Diário Oficial da União, Brasília, 10 jun. 2014. Seção 1, p. 3.</w:t>
      </w:r>
    </w:p>
    <w:bookmarkEnd w:id="141"/>
    <w:bookmarkStart w:id="142" w:name="ref-brasil2023decreto11443"/>
    <w:p>
      <w:pPr>
        <w:pStyle w:val="Bibliography"/>
        <w:spacing w:line="240" w:lineRule="auto" w:before="0" w:after="120"/>
        <w:ind w:firstLine="0" w:left="0"/>
        <w:jc w:val="left"/>
      </w:pPr>
      <w:r>
        <w:rPr>
          <w:rFonts w:ascii="Arial" w:hAnsi="Arial"/>
          <w:sz w:val="22"/>
        </w:rPr>
        <w:t xml:space="preserve">Brasil. 2023a. Decreto n. 11.443, de 21 de março de 2023. Dispõe sobre o preenchimento por pessoas negras de percentual mínimo de cargos em comissão e funções de confiança no âmbito da administração pública federal. Diário Oficial da União, Brasília, 22 mar. 2023. Seção 1, p. 1.</w:t>
      </w:r>
    </w:p>
    <w:bookmarkEnd w:id="142"/>
    <w:bookmarkStart w:id="143" w:name="ref-brasil2023lei14611"/>
    <w:p>
      <w:pPr>
        <w:pStyle w:val="Bibliography"/>
        <w:spacing w:line="240" w:lineRule="auto" w:before="0" w:after="120"/>
        <w:ind w:firstLine="0" w:left="0"/>
        <w:jc w:val="left"/>
      </w:pPr>
      <w:r>
        <w:rPr>
          <w:rFonts w:ascii="Arial" w:hAnsi="Arial"/>
          <w:sz w:val="22"/>
        </w:rPr>
        <w:t xml:space="preserve">Brasil. 2023b. Lei n. 14.611, de 3 de julho de 2023. Dispõe sobre a igualdade salarial e de critérios remuneratórios entre mulheres e homens. Diário Oficial da União, Brasília, 4 jul. 2023. Seção 1, p. 1.</w:t>
      </w:r>
    </w:p>
    <w:bookmarkEnd w:id="143"/>
    <w:bookmarkStart w:id="144" w:name="ref-brasil2023lei14723"/>
    <w:p>
      <w:pPr>
        <w:pStyle w:val="Bibliography"/>
        <w:spacing w:line="240" w:lineRule="auto" w:before="0" w:after="120"/>
        <w:ind w:firstLine="0" w:left="0"/>
        <w:jc w:val="left"/>
      </w:pPr>
      <w:r>
        <w:rPr>
          <w:rFonts w:ascii="Arial" w:hAnsi="Arial"/>
          <w:sz w:val="22"/>
        </w:rPr>
        <w:t xml:space="preserve">Brasil. 2023c. Lei n. 14.723, de 13 de novembro de 2023. Altera a Lei n. 12.711, de 29 de agosto de 2012, para dispor sobre o programa especial para o acesso às instituições federais de educação superior e de ensino técnico de nível médio. Diário Oficial da União, Brasília, 14 nov. 2023. Seção 1, p. 5.</w:t>
      </w:r>
    </w:p>
    <w:bookmarkEnd w:id="144"/>
    <w:bookmarkStart w:id="145" w:name="ref-brasil2025lei15142"/>
    <w:p>
      <w:pPr>
        <w:pStyle w:val="Bibliography"/>
        <w:spacing w:line="240" w:lineRule="auto" w:before="0" w:after="120"/>
        <w:ind w:firstLine="0" w:left="0"/>
        <w:jc w:val="left"/>
      </w:pPr>
      <w:r>
        <w:rPr>
          <w:rFonts w:ascii="Arial" w:hAnsi="Arial"/>
          <w:sz w:val="22"/>
        </w:rPr>
        <w:t xml:space="preserve">Brasil. 2025. Lei n. 15.142, de 3 de junho de 2025. Dispõe sobre a reserva às pessoas pretas e pardas, indígenas e quilombolas de vagas oferecidas em concursos públicos e em processos seletivos simplificados no âmbito da administração pública federal. Diário Oficial da União, Brasília, 4 jun. 2025. Seção 1, p. 1.</w:t>
      </w:r>
    </w:p>
    <w:bookmarkEnd w:id="145"/>
    <w:bookmarkStart w:id="146" w:name="ref-breiman2001"/>
    <w:p>
      <w:pPr>
        <w:pStyle w:val="Bibliography"/>
        <w:spacing w:line="240" w:lineRule="auto" w:before="0" w:after="120"/>
        <w:ind w:firstLine="0" w:left="0"/>
        <w:jc w:val="left"/>
      </w:pPr>
      <w:r>
        <w:rPr>
          <w:rFonts w:ascii="Arial" w:hAnsi="Arial"/>
          <w:sz w:val="22"/>
        </w:rPr>
        <w:t>Breiman, L. 2001. Random forests. Machine Learning 45(1): 5-32.</w:t>
      </w:r>
    </w:p>
    <w:bookmarkEnd w:id="146"/>
    <w:bookmarkStart w:id="147" w:name="ref-cameron2008"/>
    <w:p>
      <w:pPr>
        <w:pStyle w:val="Bibliography"/>
        <w:spacing w:line="240" w:lineRule="auto" w:before="0" w:after="120"/>
        <w:ind w:firstLine="0" w:left="0"/>
        <w:jc w:val="left"/>
      </w:pPr>
      <w:r>
        <w:rPr>
          <w:rFonts w:ascii="Arial" w:hAnsi="Arial"/>
          <w:sz w:val="22"/>
        </w:rPr>
        <w:t>Cameron, A.C.; Gelbach, J.B.; Miller, D.L. 2008. Bootstrap-based improvements for inference with clustered errors. The Review of Economics and Statistics 90(3): 414-427.</w:t>
      </w:r>
    </w:p>
    <w:bookmarkEnd w:id="147"/>
    <w:bookmarkStart w:id="148" w:name="ref-chen2016"/>
    <w:p>
      <w:pPr>
        <w:pStyle w:val="Bibliography"/>
        <w:spacing w:line="240" w:lineRule="auto" w:before="0" w:after="120"/>
        <w:ind w:firstLine="0" w:left="0"/>
        <w:jc w:val="left"/>
      </w:pPr>
      <w:r>
        <w:rPr>
          <w:rFonts w:ascii="Arial" w:hAnsi="Arial"/>
          <w:sz w:val="22"/>
        </w:rPr>
        <w:t>Chen, T.; Guestrin, C. 2016.</w:t>
      </w:r>
      <w:r>
        <w:rPr>
          <w:rFonts w:ascii="Arial" w:hAnsi="Arial"/>
          <w:sz w:val="22"/>
        </w:rPr>
        <w:t xml:space="preserve"> </w:t>
      </w:r>
      <w:r>
        <w:rPr>
          <w:rFonts w:ascii="Arial" w:hAnsi="Arial"/>
          <w:sz w:val="22"/>
        </w:rPr>
        <w:t xml:space="preserve">XGBoost</w:t>
      </w:r>
      <w:r>
        <w:rPr>
          <w:rFonts w:ascii="Arial" w:hAnsi="Arial"/>
          <w:sz w:val="22"/>
        </w:rPr>
        <w:t>: a scalable tree boosting system. In: ACM SIGKDD International Conference on Knowledge Discovery and Data Mining, 22, 2016, San Francisco, CA, EUA. Anais... p. 785-794.</w:t>
      </w:r>
    </w:p>
    <w:bookmarkEnd w:id="148"/>
    <w:bookmarkStart w:id="149" w:name="ref-crenshaw1989"/>
    <w:p>
      <w:pPr>
        <w:pStyle w:val="Bibliography"/>
        <w:spacing w:line="240" w:lineRule="auto" w:before="0" w:after="120"/>
        <w:ind w:firstLine="0" w:left="0"/>
        <w:jc w:val="left"/>
      </w:pPr>
      <w:r>
        <w:rPr>
          <w:rFonts w:ascii="Arial" w:hAnsi="Arial"/>
          <w:sz w:val="22"/>
        </w:rPr>
        <w:t>Crenshaw, K. 1989. Demarginalizing the intersection of race and sex: a black feminist critique of antidiscrimination doctrine. University of Chicago Legal Forum 1989(1): 139-167.</w:t>
      </w:r>
    </w:p>
    <w:bookmarkEnd w:id="149"/>
    <w:bookmarkStart w:id="150" w:name="ref-duan1983"/>
    <w:p>
      <w:pPr>
        <w:pStyle w:val="Bibliography"/>
        <w:spacing w:line="240" w:lineRule="auto" w:before="0" w:after="120"/>
        <w:ind w:firstLine="0" w:left="0"/>
        <w:jc w:val="left"/>
      </w:pPr>
      <w:r>
        <w:rPr>
          <w:rFonts w:ascii="Arial" w:hAnsi="Arial"/>
          <w:sz w:val="22"/>
        </w:rPr>
        <w:t>Duan, N. 1983. Smearing estimate: a nonparametric retransformation method. Journal of the American Statistical Association 78(383): 605-610.</w:t>
      </w:r>
    </w:p>
    <w:bookmarkEnd w:id="150"/>
    <w:bookmarkStart w:id="151" w:name="ref-favero2024"/>
    <w:p>
      <w:pPr>
        <w:pStyle w:val="Bibliography"/>
        <w:spacing w:line="240" w:lineRule="auto" w:before="0" w:after="120"/>
        <w:ind w:firstLine="0" w:left="0"/>
        <w:jc w:val="left"/>
      </w:pPr>
      <w:r>
        <w:rPr>
          <w:rFonts w:ascii="Arial" w:hAnsi="Arial"/>
          <w:sz w:val="22"/>
        </w:rPr>
        <w:t>Fávero, L.P.; Belfiore, P. 2024. Manual de Análise de Dados: Estatística e machine learning com Excel, SPSS, Stata, R e Python. 2ed. GEN LTC, Rio de Janeiro, RJ, Brasil.</w:t>
      </w:r>
    </w:p>
    <w:bookmarkEnd w:id="151"/>
    <w:bookmarkStart w:id="152" w:name="ref-firpo2018"/>
    <w:p>
      <w:pPr>
        <w:pStyle w:val="Bibliography"/>
        <w:spacing w:line="240" w:lineRule="auto" w:before="0" w:after="120"/>
        <w:ind w:firstLine="0" w:left="0"/>
        <w:jc w:val="left"/>
      </w:pPr>
      <w:r>
        <w:rPr>
          <w:rFonts w:ascii="Arial" w:hAnsi="Arial"/>
          <w:sz w:val="22"/>
        </w:rPr>
        <w:t>Firpo, S.P.; Fortin, N.M.; Lemieux, T. 2018. Decomposing wage distributions using recentered influence function regressions. Econometrics 6(2): 28.</w:t>
      </w:r>
    </w:p>
    <w:bookmarkEnd w:id="152"/>
    <w:bookmarkStart w:id="153" w:name="ref-frank2013"/>
    <w:p>
      <w:pPr>
        <w:pStyle w:val="Bibliography"/>
        <w:spacing w:line="240" w:lineRule="auto" w:before="0" w:after="120"/>
        <w:ind w:firstLine="0" w:left="0"/>
        <w:jc w:val="left"/>
      </w:pPr>
      <w:r>
        <w:rPr>
          <w:rFonts w:ascii="Arial" w:hAnsi="Arial"/>
          <w:sz w:val="22"/>
        </w:rPr>
        <w:t>Frank, K.A.; Maroulis, S.J.; Duong, M.Q.; Kelcey, B.M. 2013. What would it take to change an inference? Using</w:t>
      </w:r>
      <w:r>
        <w:rPr>
          <w:rFonts w:ascii="Arial" w:hAnsi="Arial"/>
          <w:sz w:val="22"/>
        </w:rPr>
        <w:t xml:space="preserve"> </w:t>
      </w:r>
      <w:r>
        <w:rPr>
          <w:rFonts w:ascii="Arial" w:hAnsi="Arial"/>
          <w:sz w:val="22"/>
        </w:rPr>
        <w:t xml:space="preserve">R</w:t>
      </w:r>
      <w:r>
        <w:rPr>
          <w:rFonts w:ascii="Arial" w:hAnsi="Arial"/>
          <w:sz w:val="22"/>
        </w:rPr>
        <w:t>ubin’s causal model to interpret the robustness of causal inferences. Educational Evaluation and Policy Analysis 35(4): 437-460.</w:t>
      </w:r>
    </w:p>
    <w:bookmarkEnd w:id="153"/>
    <w:bookmarkStart w:id="154" w:name="ref-geron2021"/>
    <w:p>
      <w:pPr>
        <w:pStyle w:val="Bibliography"/>
        <w:spacing w:line="240" w:lineRule="auto" w:before="0" w:after="120"/>
        <w:ind w:firstLine="0" w:left="0"/>
        <w:jc w:val="left"/>
      </w:pPr>
      <w:r>
        <w:rPr>
          <w:rFonts w:ascii="Arial" w:hAnsi="Arial"/>
          <w:sz w:val="22"/>
        </w:rPr>
        <w:t xml:space="preserve">Géron, A. 2021. Mãos à Obra: Aprendizado de máquina com Scikit-Learn, Keras &amp; TensorFlow: conceitos, ferramentas e técnicas para a construção de sistemas inteligentes. 2ed. Alta Books, Rio de Janeiro, RJ, Brasil.</w:t>
      </w:r>
    </w:p>
    <w:bookmarkEnd w:id="154"/>
    <w:bookmarkStart w:id="155" w:name="ref-granovetter1973"/>
    <w:p>
      <w:pPr>
        <w:pStyle w:val="Bibliography"/>
        <w:spacing w:line="240" w:lineRule="auto" w:before="0" w:after="120"/>
        <w:ind w:firstLine="0" w:left="0"/>
        <w:jc w:val="left"/>
      </w:pPr>
      <w:r>
        <w:rPr>
          <w:rFonts w:ascii="Arial" w:hAnsi="Arial"/>
          <w:sz w:val="22"/>
        </w:rPr>
        <w:t>Granovetter, M.S. 1973. The strength of weak ties. American Journal of Sociology 78(6): 1360-1380.</w:t>
      </w:r>
    </w:p>
    <w:bookmarkEnd w:id="155"/>
    <w:bookmarkStart w:id="156" w:name="ref-hasenbalg1979"/>
    <w:p>
      <w:pPr>
        <w:pStyle w:val="Bibliography"/>
        <w:spacing w:line="240" w:lineRule="auto" w:before="0" w:after="120"/>
        <w:ind w:firstLine="0" w:left="0"/>
        <w:jc w:val="left"/>
      </w:pPr>
      <w:r>
        <w:rPr>
          <w:rFonts w:ascii="Arial" w:hAnsi="Arial"/>
          <w:sz w:val="22"/>
        </w:rPr>
        <w:t xml:space="preserve">Hasenbalg, C. 1979. Discriminação e Desigualdades Raciais no Brasil. Graal, Rio de Janeiro, RJ, Brasil.</w:t>
      </w:r>
    </w:p>
    <w:bookmarkEnd w:id="156"/>
    <w:bookmarkStart w:id="157" w:name="ref-henriques2001"/>
    <w:p>
      <w:pPr>
        <w:pStyle w:val="Bibliography"/>
        <w:spacing w:line="240" w:lineRule="auto" w:before="0" w:after="120"/>
        <w:ind w:firstLine="0" w:left="0"/>
        <w:jc w:val="left"/>
      </w:pPr>
      <w:r>
        <w:rPr>
          <w:rFonts w:ascii="Arial" w:hAnsi="Arial"/>
          <w:sz w:val="22"/>
        </w:rPr>
        <w:t xml:space="preserve">Henriques, R. 2001. Desigualdade Racial no Brasil: Evolução das condições de vida na década de 90. Texto para Discussão 807. Instituto de Pesquisa Econômica Aplicada, Rio de Janeiro, RJ, Brasil.</w:t>
      </w:r>
    </w:p>
    <w:bookmarkEnd w:id="157"/>
    <w:bookmarkStart w:id="158" w:name="ref-ibge_pof_2019"/>
    <w:p>
      <w:pPr>
        <w:pStyle w:val="Bibliography"/>
        <w:spacing w:line="240" w:lineRule="auto" w:before="0" w:after="120"/>
        <w:ind w:firstLine="0" w:left="0"/>
        <w:jc w:val="left"/>
      </w:pPr>
      <w:r>
        <w:rPr>
          <w:rFonts w:ascii="Arial" w:hAnsi="Arial"/>
          <w:sz w:val="22"/>
        </w:rPr>
        <w:t xml:space="preserve">Instituto Brasileiro de Geografia e Estatística [IBGE]. 2019. Pesquisa de Orçamentos Familiares 2017-2018: Análise da qualidade de vida (índice de perda de qualidade de vida). Instituto Brasileiro de Geografia e Estatística, Rio de Janeiro, RJ, Brasil.</w:t>
      </w:r>
    </w:p>
    <w:bookmarkEnd w:id="158"/>
    <w:bookmarkStart w:id="159" w:name="ref-ibge_pnad_2023"/>
    <w:p>
      <w:pPr>
        <w:pStyle w:val="Bibliography"/>
        <w:spacing w:line="240" w:lineRule="auto" w:before="0" w:after="120"/>
        <w:ind w:firstLine="0" w:left="0"/>
        <w:jc w:val="left"/>
      </w:pPr>
      <w:r>
        <w:rPr>
          <w:rFonts w:ascii="Arial" w:hAnsi="Arial"/>
          <w:sz w:val="22"/>
        </w:rPr>
        <w:t xml:space="preserve">Instituto Brasileiro de Geografia e Estatística [IBGE]. 2023. Pesquisa Nacional por Amostra de Domicílios Contínua: Notas metodológicas. Instituto Brasileiro de Geografia e Estatística, Rio de Janeiro, RJ, Brasil.</w:t>
      </w:r>
    </w:p>
    <w:bookmarkEnd w:id="159"/>
    <w:bookmarkStart w:id="160" w:name="ref-ibge_rendimentos_2025"/>
    <w:p>
      <w:pPr>
        <w:pStyle w:val="Bibliography"/>
        <w:spacing w:line="240" w:lineRule="auto" w:before="0" w:after="120"/>
        <w:ind w:firstLine="0" w:left="0"/>
        <w:jc w:val="left"/>
      </w:pPr>
      <w:r>
        <w:rPr>
          <w:rFonts w:ascii="Arial" w:hAnsi="Arial"/>
          <w:sz w:val="22"/>
        </w:rPr>
        <w:t xml:space="preserve">Instituto Brasileiro de Geografia e Estatística [IBGE]. 2025. Pesquisa Nacional por Amostra de Domicílios Contínua: Rendimento de todas as fontes 2025. Instituto Brasileiro de Geografia e Estatística, Rio de Janeiro, RJ, Brasil.</w:t>
      </w:r>
    </w:p>
    <w:bookmarkEnd w:id="160"/>
    <w:bookmarkStart w:id="161" w:name="ref-koenker1978"/>
    <w:p>
      <w:pPr>
        <w:pStyle w:val="Bibliography"/>
        <w:spacing w:line="240" w:lineRule="auto" w:before="0" w:after="120"/>
        <w:ind w:firstLine="0" w:left="0"/>
        <w:jc w:val="left"/>
      </w:pPr>
      <w:r>
        <w:rPr>
          <w:rFonts w:ascii="Arial" w:hAnsi="Arial"/>
          <w:sz w:val="22"/>
        </w:rPr>
        <w:t>Koenker, R.; Bassett, G. 1978. Regression quantiles. Econometrica 46(1): 33-50.</w:t>
      </w:r>
    </w:p>
    <w:bookmarkEnd w:id="161"/>
    <w:bookmarkStart w:id="162" w:name="ref-lundberg2017"/>
    <w:p>
      <w:pPr>
        <w:pStyle w:val="Bibliography"/>
        <w:spacing w:line="240" w:lineRule="auto" w:before="0" w:after="120"/>
        <w:ind w:firstLine="0" w:left="0"/>
        <w:jc w:val="left"/>
      </w:pPr>
      <w:r>
        <w:rPr>
          <w:rFonts w:ascii="Arial" w:hAnsi="Arial"/>
          <w:sz w:val="22"/>
        </w:rPr>
        <w:t>Lundberg, S.M.; Lee, S.-I. 2017. A unified approach to interpreting model predictions. Advances in Neural Information Processing Systems 30: 4765-4774.</w:t>
      </w:r>
    </w:p>
    <w:bookmarkEnd w:id="162"/>
    <w:bookmarkStart w:id="163" w:name="ref-manski1993"/>
    <w:p>
      <w:pPr>
        <w:pStyle w:val="Bibliography"/>
        <w:spacing w:line="240" w:lineRule="auto" w:before="0" w:after="120"/>
        <w:ind w:firstLine="0" w:left="0"/>
        <w:jc w:val="left"/>
      </w:pPr>
      <w:r>
        <w:rPr>
          <w:rFonts w:ascii="Arial" w:hAnsi="Arial"/>
          <w:sz w:val="22"/>
        </w:rPr>
        <w:t>Manski, C.F. 1993. Identification of endogenous social effects: the reflection problem. Review of Economic Studies 60(3): 531-542.</w:t>
      </w:r>
    </w:p>
    <w:bookmarkEnd w:id="163"/>
    <w:bookmarkStart w:id="164" w:name="ref-marques2010"/>
    <w:p>
      <w:pPr>
        <w:pStyle w:val="Bibliography"/>
        <w:spacing w:line="240" w:lineRule="auto" w:before="0" w:after="120"/>
        <w:ind w:firstLine="0" w:left="0"/>
        <w:jc w:val="left"/>
      </w:pPr>
      <w:r>
        <w:rPr>
          <w:rFonts w:ascii="Arial" w:hAnsi="Arial"/>
          <w:sz w:val="22"/>
        </w:rPr>
        <w:t>Marques, E. 2010. Redes sociais, segregação e pobreza em São Paulo. Dados: Revista de Ciências Sociais 53(1): 5-50.</w:t>
      </w:r>
    </w:p>
    <w:bookmarkEnd w:id="164"/>
    <w:bookmarkStart w:id="165" w:name="ref-oaxaca1973"/>
    <w:p>
      <w:pPr>
        <w:pStyle w:val="Bibliography"/>
        <w:spacing w:line="240" w:lineRule="auto" w:before="0" w:after="120"/>
        <w:ind w:firstLine="0" w:left="0"/>
        <w:jc w:val="left"/>
      </w:pPr>
      <w:r>
        <w:rPr>
          <w:rFonts w:ascii="Arial" w:hAnsi="Arial"/>
          <w:sz w:val="22"/>
        </w:rPr>
        <w:t>Oaxaca, R. 1973. Male-female wage differentials in urban labor markets. International Economic Review 14(3): 693-709.</w:t>
      </w:r>
    </w:p>
    <w:bookmarkEnd w:id="165"/>
    <w:bookmarkStart w:id="166" w:name="ref-oaxaca_ransom1999"/>
    <w:p>
      <w:pPr>
        <w:pStyle w:val="Bibliography"/>
        <w:spacing w:line="240" w:lineRule="auto" w:before="0" w:after="120"/>
        <w:ind w:firstLine="0" w:left="0"/>
        <w:jc w:val="left"/>
      </w:pPr>
      <w:r>
        <w:rPr>
          <w:rFonts w:ascii="Arial" w:hAnsi="Arial"/>
          <w:sz w:val="22"/>
        </w:rPr>
        <w:t>Oaxaca, R.L.; Ransom, M.R. 1999. Identification in detailed wage decompositions. Review of Economics and Statistics 81(1): 154-157.</w:t>
      </w:r>
    </w:p>
    <w:bookmarkEnd w:id="166"/>
    <w:bookmarkStart w:id="167" w:name="ref-pager2007"/>
    <w:p>
      <w:pPr>
        <w:pStyle w:val="Bibliography"/>
        <w:spacing w:line="240" w:lineRule="auto" w:before="0" w:after="120"/>
        <w:ind w:firstLine="0" w:left="0"/>
        <w:jc w:val="left"/>
      </w:pPr>
      <w:r>
        <w:rPr>
          <w:rFonts w:ascii="Arial" w:hAnsi="Arial"/>
          <w:sz w:val="22"/>
        </w:rPr>
        <w:t xml:space="preserve">Pager, D. 2007. Marked: Race, crime, and finding work in an era of mass incarceration. University of Chicago Press, Chicago, IL, EUA.</w:t>
      </w:r>
    </w:p>
    <w:bookmarkEnd w:id="167"/>
    <w:bookmarkStart w:id="168" w:name="ref-raudenbush2002"/>
    <w:p>
      <w:pPr>
        <w:pStyle w:val="Bibliography"/>
        <w:spacing w:line="240" w:lineRule="auto" w:before="0" w:after="120"/>
        <w:ind w:firstLine="0" w:left="0"/>
        <w:jc w:val="left"/>
      </w:pPr>
      <w:r>
        <w:rPr>
          <w:rFonts w:ascii="Arial" w:hAnsi="Arial"/>
          <w:sz w:val="22"/>
        </w:rPr>
        <w:t>Raudenbush, S.W.; Bryk, A.S. 2002. Hierarchical Linear Models: Applications and data analysis methods. 2ed. Sage, Thousand Oaks, CA, EUA.</w:t>
      </w:r>
    </w:p>
    <w:bookmarkEnd w:id="168"/>
    <w:bookmarkStart w:id="169" w:name="ref-sampson1997"/>
    <w:p>
      <w:pPr>
        <w:pStyle w:val="Bibliography"/>
        <w:spacing w:line="240" w:lineRule="auto" w:before="0" w:after="120"/>
        <w:ind w:firstLine="0" w:left="0"/>
        <w:jc w:val="left"/>
      </w:pPr>
      <w:r>
        <w:rPr>
          <w:rFonts w:ascii="Arial" w:hAnsi="Arial"/>
          <w:sz w:val="22"/>
        </w:rPr>
        <w:t>Sampson, R.J.; Raudenbush, S.W.; Earls, F. 1997. Neighborhoods and violent crime: a multilevel study of collective efficacy. Science 277(5328): 918-924.</w:t>
      </w:r>
    </w:p>
    <w:bookmarkEnd w:id="169"/>
    <w:bookmarkStart w:id="170" w:name="ref-soares2009"/>
    <w:p>
      <w:pPr>
        <w:pStyle w:val="Bibliography"/>
        <w:spacing w:line="240" w:lineRule="auto" w:before="0" w:after="120"/>
        <w:ind w:firstLine="0" w:left="0"/>
        <w:jc w:val="left"/>
      </w:pPr>
      <w:r>
        <w:rPr>
          <w:rFonts w:ascii="Arial" w:hAnsi="Arial"/>
          <w:sz w:val="22"/>
        </w:rPr>
        <w:t>Soares, S. 2009. Desigualdade racial de renda no Brasil: 1976-2006. Estudos Econômicos 39(4): 803-825.</w:t>
      </w:r>
    </w:p>
    <w:bookmarkEnd w:id="170"/>
    <w:bookmarkStart w:id="171" w:name="ref-telles2004"/>
    <w:p>
      <w:pPr>
        <w:pStyle w:val="Bibliography"/>
        <w:spacing w:line="240" w:lineRule="auto" w:before="0" w:after="120"/>
        <w:ind w:firstLine="0" w:left="0"/>
        <w:jc w:val="left"/>
      </w:pPr>
      <w:r>
        <w:rPr>
          <w:rFonts w:ascii="Arial" w:hAnsi="Arial"/>
          <w:sz w:val="22"/>
        </w:rPr>
        <w:t xml:space="preserve">Telles, E.E. 2004. Race in Another America: The significance of skin color in Brazil. Princeton University Press, Princeton, NJ, EUA.</w:t>
      </w:r>
    </w:p>
    <w:bookmarkEnd w:id="171"/>
    <w:bookmarkStart w:id="172" w:name="ref-vanderweele2017"/>
    <w:p>
      <w:pPr>
        <w:pStyle w:val="Bibliography"/>
        <w:spacing w:line="240" w:lineRule="auto" w:before="0" w:after="120"/>
        <w:ind w:firstLine="0" w:left="0"/>
        <w:jc w:val="left"/>
      </w:pPr>
      <w:r>
        <w:rPr>
          <w:rFonts w:ascii="Arial" w:hAnsi="Arial"/>
          <w:sz w:val="22"/>
        </w:rPr>
        <w:t>VanderWeele, T.J.; Ding, P. 2017. Sensitivity analysis in observational research: introducing the</w:t>
      </w:r>
      <w:r>
        <w:rPr>
          <w:rFonts w:ascii="Arial" w:hAnsi="Arial"/>
          <w:sz w:val="22"/>
        </w:rPr>
        <w:t xml:space="preserve"> </w:t>
      </w:r>
      <w:r>
        <w:rPr>
          <w:rFonts w:ascii="Arial" w:hAnsi="Arial"/>
          <w:sz w:val="22"/>
        </w:rPr>
        <w:t xml:space="preserve">E</w:t>
      </w:r>
      <w:r>
        <w:rPr>
          <w:rFonts w:ascii="Arial" w:hAnsi="Arial"/>
          <w:sz w:val="22"/>
        </w:rPr>
        <w:t>-value. Annals of Internal Medicine 167(4): 268-274.</w:t>
      </w:r>
    </w:p>
    <w:bookmarkEnd w:id="172"/>
    <w:bookmarkStart w:id="174" w:name="ref-wilm2026"/>
    <w:p>
      <w:pPr>
        <w:pStyle w:val="Bibliography"/>
        <w:spacing w:line="240" w:lineRule="auto" w:before="0" w:after="120"/>
        <w:ind w:firstLine="0" w:left="0"/>
        <w:jc w:val="left"/>
      </w:pPr>
      <w:r>
        <w:rPr>
          <w:rFonts w:ascii="Arial" w:hAnsi="Arial"/>
          <w:sz w:val="22"/>
        </w:rPr>
        <w:t>Wilm, M.; Santos, D.; Coelho, L.; Marangoni, S.; Lima, R.C.; Gonçalves, G.; Verissimo, B. 2026. Índice de Progresso Social Brasil 2026: Resumo executivo. Imazon, Belém, PA, Brasil. Disponível em: &lt;</w:t>
      </w:r>
      <w:hyperlink r:id="rId173">
        <w:r>
          <w:rPr>
            <w:rStyle w:val="Hyperlink"/>
          </w:rPr>
          <w:t xml:space="preserve">https://imazon.org.br/relatorios/indice-de-progresso-social-brasil-2026</w:t>
        </w:r>
      </w:hyperlink>
      <w:r>
        <w:rPr>
          <w:rFonts w:ascii="Arial" w:hAnsi="Arial"/>
          <w:sz w:val="22"/>
        </w:rPr>
        <w:t xml:space="preserve">&gt;. Acesso em: 06 out. 2026.</w:t>
      </w:r>
    </w:p>
    <w:bookmarkEnd w:id="174"/>
    <w:bookmarkStart w:id="175" w:name="ref-wilson1987"/>
    <w:p>
      <w:pPr>
        <w:pStyle w:val="Bibliography"/>
        <w:spacing w:line="240" w:lineRule="auto" w:before="0" w:after="120"/>
        <w:ind w:firstLine="0" w:left="0"/>
        <w:jc w:val="left"/>
      </w:pPr>
      <w:r>
        <w:rPr>
          <w:rFonts w:ascii="Arial" w:hAnsi="Arial"/>
          <w:sz w:val="22"/>
        </w:rPr>
        <w:t xml:space="preserve">Wilson, W.J. 1987. The Truly Disadvantaged: The inner city, the underclass, and public policy. University of Chicago Press, Chicago, IL, EUA.</w:t>
      </w:r>
    </w:p>
    <w:bookmarkEnd w:id="175"/>
    <w:bookmarkEnd w:id="176"/>
    <w:bookmarkEnd w:id="177"/>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18"/>
          <w:szCs w:val="18"/>
        </w:rPr>
        <w:continuationSeparator/>
      </w:r>
    </w:p>
  </w:footnote>
  <w:footnote w:type="separator" w:id="-1">
    <w:p>
      <w:pPr>
        <w:spacing w:line="240" w:lineRule="auto" w:after="0"/>
      </w:pPr>
      <w:r>
        <w:rPr>
          <w:sz w:val="18"/>
          <w:szCs w:val="18"/>
        </w:rPr>
        <w:separator/>
      </w:r>
    </w:p>
  </w:footnote>
  <w:footnote w:id="36">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rPr>
          <w:sz w:val="18"/>
          <w:szCs w:val="18"/>
        </w:rPr>
        <w:t xml:space="preserve"> </w:t>
      </w:r>
      <w:r>
        <w:rPr>
          <w:sz w:val="18"/>
          <w:szCs w:val="18"/>
        </w:rPr>
        <w:t xml:space="preserve">(variância entre</w:t>
      </w:r>
      <w:r>
        <w:rPr>
          <w:sz w:val="18"/>
          <w:szCs w:val="18"/>
        </w:rPr>
        <w:t xml:space="preserve"> </w:t>
      </w:r>
      <w:r>
        <w:rPr>
          <w:sz w:val="18"/>
          <w:szCs w:val="18"/>
        </w:rPr>
        <w:t xml:space="preserve">bairros) e</w:t>
      </w:r>
      <w:r>
        <w:rPr>
          <w:sz w:val="18"/>
          <w:szCs w:val="18"/>
        </w:rPr>
        <w:t xml:space="preserve"> </w:t>
      </w:r>
      <m:oMath>
        <m:sSup>
          <m:e>
            <m:acc>
              <m:accPr>
                <m:chr m:val="̂"/>
              </m:accPr>
              <m:e>
                <m:r>
                  <m:t>σ</m:t>
                </m:r>
              </m:e>
            </m:acc>
          </m:e>
          <m:sup>
            <m:r>
              <m:t>2</m:t>
            </m:r>
          </m:sup>
        </m:sSup>
        <m:r>
          <m:rPr>
            <m:sty m:val="p"/>
          </m:rPr>
          <m:t>=</m:t>
        </m:r>
        <m:r>
          <m:t>0</m:t>
        </m:r>
        <m:r>
          <m:rPr>
            <m:sty m:val="p"/>
          </m:rPr>
          <m:t>,</m:t>
        </m:r>
        <m:r>
          <m:t>5524</m:t>
        </m:r>
      </m:oMath>
      <w:r>
        <w:rPr>
          <w:sz w:val="18"/>
          <w:szCs w:val="18"/>
        </w:rPr>
        <w:t xml:space="preserve"> </w:t>
      </w:r>
      <w:r>
        <w:rPr>
          <w:sz w:val="18"/>
          <w:szCs w:val="18"/>
        </w:rPr>
        <w:t xml:space="preserve">(variância entre pessoas do mesmo bairro), com</w:t>
      </w:r>
      <w:r>
        <w:rPr>
          <w:sz w:val="18"/>
          <w:szCs w:val="18"/>
        </w:rPr>
        <w:t xml:space="preserve"> </w:t>
      </w:r>
      <w:r>
        <w:rPr>
          <w:sz w:val="18"/>
          <w:szCs w:val="18"/>
        </w:rPr>
        <w:t xml:space="preserve">ICC</w:t>
      </w:r>
      <w:r>
        <w:rPr>
          <w:sz w:val="18"/>
          <w:szCs w:val="18"/>
        </w:rP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rPr>
          <w:sz w:val="18"/>
          <w:szCs w:val="18"/>
        </w:rPr>
        <w:t xml:space="preserve">.</w:t>
      </w:r>
    </w:p>
  </w:footnote>
  <w:footnote w:id="3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Os modelos têm o logaritmo do rendimento como variável dependente, de modo que o coeficiente está em log-pontos. A variação percentual correspondente é</w:t>
      </w:r>
      <w:r>
        <w:rPr>
          <w:sz w:val="18"/>
          <w:szCs w:val="18"/>
        </w:rP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rPr>
          <w:sz w:val="18"/>
          <w:szCs w:val="18"/>
        </w:rPr>
        <w:t xml:space="preserve">, e não</w:t>
      </w:r>
      <w:r>
        <w:rPr>
          <w:sz w:val="18"/>
          <w:szCs w:val="18"/>
        </w:rPr>
        <w:t xml:space="preserve"> </w:t>
      </w:r>
      <m:oMath>
        <m:acc>
          <m:accPr>
            <m:chr m:val="̂"/>
          </m:accPr>
          <m:e>
            <m:r>
              <m:t>β</m:t>
            </m:r>
          </m:e>
        </m:acc>
        <m:r>
          <m:rPr>
            <m:sty m:val="p"/>
          </m:rPr>
          <m:t>×</m:t>
        </m:r>
        <m:r>
          <m:t>100</m:t>
        </m:r>
      </m:oMath>
      <w:r>
        <w:rPr>
          <w:sz w:val="18"/>
          <w:szCs w:val="18"/>
        </w:rPr>
        <w:t xml:space="preserve">: para</w:t>
      </w:r>
      <w:r>
        <w:rPr>
          <w:sz w:val="18"/>
          <w:szCs w:val="18"/>
        </w:rPr>
        <w:t xml:space="preserve"> </w:t>
      </w:r>
      <m:oMath>
        <m:acc>
          <m:accPr>
            <m:chr m:val="̂"/>
          </m:accPr>
          <m:e>
            <m:r>
              <m:t>β</m:t>
            </m:r>
          </m:e>
        </m:acc>
        <m:r>
          <m:rPr>
            <m:sty m:val="p"/>
          </m:rPr>
          <m:t>=</m:t>
        </m:r>
        <m:r>
          <m:rPr>
            <m:sty m:val="p"/>
          </m:rPr>
          <m:t>−</m:t>
        </m:r>
        <m:r>
          <m:t>0</m:t>
        </m:r>
        <m:r>
          <m:rPr>
            <m:sty m:val="p"/>
          </m:rPr>
          <m:t>,</m:t>
        </m:r>
        <m:r>
          <m:t>1104</m:t>
        </m:r>
      </m:oMath>
      <w:r>
        <w:rPr>
          <w:sz w:val="18"/>
          <w:szCs w:val="18"/>
        </w:rPr>
        <w:t xml:space="preserve">, por exemplo, tem-se</w:t>
      </w:r>
      <w:r>
        <w:rPr>
          <w:sz w:val="18"/>
          <w:szCs w:val="18"/>
        </w:rPr>
        <w:t xml:space="preserve"> </w:t>
      </w:r>
      <m:oMath>
        <m:r>
          <m:rPr>
            <m:sty m:val="p"/>
          </m:rPr>
          <m:t>−</m:t>
        </m:r>
        <m:r>
          <m:t>10</m:t>
        </m:r>
        <m:r>
          <m:rPr>
            <m:sty m:val="p"/>
          </m:rPr>
          <m:t>,</m:t>
        </m:r>
        <m:r>
          <m:t>5</m:t>
        </m:r>
        <m:r>
          <m:rPr>
            <m:sty m:val="p"/>
          </m:rPr>
          <m:t>%</m:t>
        </m:r>
      </m:oMath>
      <w:r>
        <w:rPr>
          <w:sz w:val="18"/>
          <w:szCs w:val="18"/>
        </w:rPr>
        <w:t xml:space="preserve">, e não</w:t>
      </w:r>
      <w:r>
        <w:rPr>
          <w:sz w:val="18"/>
          <w:szCs w:val="18"/>
        </w:rPr>
        <w:t xml:space="preserve"> </w:t>
      </w:r>
      <m:oMath>
        <m:r>
          <m:rPr>
            <m:sty m:val="p"/>
          </m:rPr>
          <m:t>−</m:t>
        </m:r>
        <m:r>
          <m:t>11</m:t>
        </m:r>
        <m:r>
          <m:rPr>
            <m:sty m:val="p"/>
          </m:rPr>
          <m:t>,</m:t>
        </m:r>
        <m:r>
          <m:t>0</m:t>
        </m:r>
        <m:r>
          <m:rPr>
            <m:sty m:val="p"/>
          </m:rPr>
          <m:t>%</m:t>
        </m:r>
      </m:oMath>
      <w:r>
        <w:rPr>
          <w:sz w:val="18"/>
          <w:szCs w:val="18"/>
        </w:rPr>
        <w:t xml:space="preserve">. As duas leituras se aproximam quando o coeficiente é pequeno e divergem à medida que ele cresce em módulo; todos os percentuais de gap deste trabalho usam a primeira forma.</w:t>
      </w:r>
    </w:p>
  </w:footnote>
  <w:footnote w:id="38">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rPr>
          <w:sz w:val="18"/>
          <w:szCs w:val="18"/>
        </w:rPr>
        <w:t xml:space="preserve">, IC 95%: [−0,0679; −0,0658].</w:t>
      </w:r>
    </w:p>
  </w:footnote>
  <w:footnote w:id="39">
    <w:p>
      <w:pPr>
        <w:pStyle w:val="FootnoteText"/>
        <w:spacing w:line="240" w:lineRule="auto" w:after="0"/>
      </w:pPr>
      <w:r>
        <w:rPr>
          <w:rStyle w:val="FootnoteReference"/>
          <w:vertAlign w:val="superscript"/>
          <w:sz w:val="18"/>
          <w:szCs w:val="18"/>
        </w:rPr>
        <w:footnoteRef/>
      </w:r>
      <w:r>
        <w:rPr>
          <w:sz w:val="18"/>
          <w:szCs w:val="18"/>
        </w:rPr>
        <w:t xml:space="preserve"> </w:t>
      </w:r>
      <m:oMath>
        <m:sSup>
          <m:e>
            <m:acc>
              <m:accPr>
                <m:chr m:val="̂"/>
              </m:accPr>
              <m:e>
                <m:r>
                  <m:t>τ</m:t>
                </m:r>
              </m:e>
            </m:acc>
          </m:e>
          <m:sup>
            <m:r>
              <m:t>2</m:t>
            </m:r>
          </m:sup>
        </m:sSup>
      </m:oMath>
      <w:r>
        <w:rPr>
          <w:sz w:val="18"/>
          <w:szCs w:val="18"/>
        </w:rPr>
        <w:t xml:space="preserve"> </w:t>
      </w:r>
      <w:r>
        <w:rPr>
          <w:sz w:val="18"/>
          <w:szCs w:val="18"/>
        </w:rPr>
        <w:t xml:space="preserve">cai de 0,1012 para</w:t>
      </w:r>
      <w:r>
        <w:rPr>
          <w:sz w:val="18"/>
          <w:szCs w:val="18"/>
        </w:rPr>
        <w:t xml:space="preserve"> </w:t>
      </w:r>
      <w:r>
        <w:rPr>
          <w:sz w:val="18"/>
          <w:szCs w:val="18"/>
        </w:rPr>
        <w:t xml:space="preserve">0,0454; LR</w:t>
      </w:r>
      <w:r>
        <w:rPr>
          <w:sz w:val="18"/>
          <w:szCs w:val="18"/>
        </w:rPr>
        <w:t xml:space="preserve"> </w:t>
      </w:r>
      <m:oMath>
        <m:r>
          <m:rPr>
            <m:sty m:val="p"/>
          </m:rPr>
          <m:t>=</m:t>
        </m:r>
      </m:oMath>
      <w:r>
        <w:rPr>
          <w:sz w:val="18"/>
          <w:szCs w:val="18"/>
        </w:rPr>
        <w:t xml:space="preserve"> </w:t>
      </w:r>
      <w:r>
        <w:rPr>
          <w:sz w:val="18"/>
          <w:szCs w:val="18"/>
        </w:rPr>
        <w:t xml:space="preserve">29.811, 3 g.l.,</w:t>
      </w:r>
      <w:r>
        <w:rPr>
          <w:sz w:val="18"/>
          <w:szCs w:val="18"/>
        </w:rPr>
        <w:t xml:space="preserve"> </w:t>
      </w:r>
      <m:oMath>
        <m:r>
          <m:t>p</m:t>
        </m:r>
        <m:r>
          <m:rPr>
            <m:sty m:val="p"/>
          </m:rPr>
          <m:t>&lt;</m:t>
        </m:r>
        <m:r>
          <m:t>0</m:t>
        </m:r>
        <m:r>
          <m:rPr>
            <m:sty m:val="p"/>
          </m:rPr>
          <m:t>,</m:t>
        </m:r>
        <m:r>
          <m:t>001</m:t>
        </m:r>
      </m:oMath>
      <w:r>
        <w:rPr>
          <w:sz w:val="18"/>
          <w:szCs w:val="18"/>
        </w:rPr>
        <w:t xml:space="preserve">.</w:t>
      </w:r>
    </w:p>
  </w:footnote>
  <w:footnote w:id="40">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de</w:t>
      </w:r>
      <w:r>
        <w:rPr>
          <w:sz w:val="18"/>
          <w:szCs w:val="18"/>
        </w:rPr>
        <w:t xml:space="preserve"> </w:t>
      </w:r>
      <m:oMath>
        <m:sSubSup>
          <m:e>
            <m:acc>
              <m:accPr>
                <m:chr m:val="̂"/>
              </m:accPr>
              <m:e>
                <m:r>
                  <m:t>β</m:t>
                </m:r>
              </m:e>
            </m:acc>
          </m:e>
          <m:sub>
            <m:r>
              <m:rPr>
                <m:nor/>
                <m:sty m:val="p"/>
              </m:rPr>
              <m:t>negro</m:t>
            </m:r>
          </m:sub>
          <m:sup>
            <m:r>
              <m:t>M</m:t>
            </m:r>
            <m:r>
              <m:t>3</m:t>
            </m:r>
          </m:sup>
        </m:sSubSup>
      </m:oMath>
      <w:r>
        <w:rPr>
          <w:sz w:val="18"/>
          <w:szCs w:val="18"/>
        </w:rPr>
        <w:t xml:space="preserve">: [−0,0639; −0,0619]. O ICC cai para 0,076 e os controles acumulados explicam</w:t>
      </w:r>
      <w:r>
        <w:rPr>
          <w:sz w:val="18"/>
          <w:szCs w:val="18"/>
        </w:rPr>
        <w:t xml:space="preserve"> </w:t>
      </w:r>
      <w:r>
        <w:rPr>
          <w:sz w:val="18"/>
          <w:szCs w:val="18"/>
        </w:rPr>
        <w:t xml:space="preserve">90,1% da variância entre bairros do M0; a escada completa está nas linhas</w:t>
      </w:r>
      <w:r>
        <w:rPr>
          <w:sz w:val="18"/>
          <w:szCs w:val="18"/>
        </w:rPr>
        <w:t xml:space="preserve"> </w:t>
      </w:r>
      <w:r>
        <w:rPr>
          <w:sz w:val="18"/>
          <w:szCs w:val="18"/>
        </w:rPr>
        <w:t xml:space="preserve">inferiores da Tabela 3.</w:t>
      </w:r>
    </w:p>
  </w:footnote>
  <w:footnote w:id="4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Estimado com</w:t>
      </w:r>
      <w:r>
        <w:rPr>
          <w:sz w:val="18"/>
          <w:szCs w:val="18"/>
        </w:rPr>
        <w:t xml:space="preserve"> </w:t>
      </w:r>
      <w:r>
        <w:rPr>
          <w:rStyle w:val="VerbatimChar"/>
          <w:sz w:val="18"/>
          <w:szCs w:val="18"/>
        </w:rPr>
        <w:t xml:space="preserve">lme4</w:t>
      </w:r>
      <w:r>
        <w:rPr>
          <w:sz w:val="18"/>
          <w:szCs w:val="18"/>
        </w:rPr>
        <w:t xml:space="preserve"> </w:t>
      </w:r>
      <w:r>
        <w:rPr>
          <w:sz w:val="18"/>
          <w:szCs w:val="18"/>
        </w:rP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3">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t>1</m:t>
            </m:r>
          </m:sub>
          <m:sup>
            <m:r>
              <m:t>2</m:t>
            </m:r>
          </m:sup>
        </m:sSubSup>
        <m:r>
          <m:rPr>
            <m:sty m:val="p"/>
          </m:rPr>
          <m:t>=</m:t>
        </m:r>
        <m:r>
          <m:t>0</m:t>
        </m:r>
        <m:r>
          <m:rPr>
            <m:sty m:val="p"/>
          </m:rPr>
          <m:t>,</m:t>
        </m:r>
        <m:r>
          <m:t>0210</m:t>
        </m:r>
      </m:oMath>
      <w:r>
        <w:rPr>
          <w:sz w:val="18"/>
          <w:szCs w:val="18"/>
        </w:rPr>
        <w:t xml:space="preserve">, componente de variância da inclinação</w:t>
      </w:r>
      <w:r>
        <w:rPr>
          <w:sz w:val="18"/>
          <w:szCs w:val="18"/>
        </w:rPr>
        <w:t xml:space="preserve"> </w:t>
      </w:r>
      <w:r>
        <w:rPr>
          <w:sz w:val="18"/>
          <w:szCs w:val="18"/>
        </w:rPr>
        <w:t xml:space="preserve">aleatória de</w:t>
      </w:r>
      <w:r>
        <w:rPr>
          <w:sz w:val="18"/>
          <w:szCs w:val="18"/>
        </w:rPr>
        <w:t xml:space="preserve"> </w:t>
      </w:r>
      <w:r>
        <w:rPr>
          <w:rStyle w:val="VerbatimChar"/>
          <w:sz w:val="18"/>
          <w:szCs w:val="18"/>
        </w:rPr>
        <w:t xml:space="preserve">negro</w:t>
      </w:r>
      <w:r>
        <w:rPr>
          <w:sz w:val="18"/>
          <w:szCs w:val="18"/>
        </w:rPr>
        <w:t xml:space="preserve"> </w:t>
      </w:r>
      <w:r>
        <w:rPr>
          <w:sz w:val="18"/>
          <w:szCs w:val="18"/>
        </w:rPr>
        <w:t xml:space="preserve">por UPA.</w:t>
      </w:r>
    </w:p>
  </w:footnote>
  <w:footnote w:id="66">
    <w:p>
      <w:pPr>
        <w:pStyle w:val="FootnoteText"/>
        <w:spacing w:line="240" w:lineRule="auto" w:after="0"/>
      </w:pPr>
      <w:r>
        <w:rPr>
          <w:rStyle w:val="FootnoteReference"/>
          <w:vertAlign w:val="superscript"/>
          <w:sz w:val="18"/>
          <w:szCs w:val="18"/>
        </w:rPr>
        <w:footnoteRef/>
      </w:r>
      <w:r>
        <w:rPr>
          <w:sz w:val="18"/>
          <w:szCs w:val="18"/>
        </w:rPr>
        <w:t xml:space="preserve"> </w:t>
      </w:r>
      <w:r>
        <w:rPr>
          <w:rStyle w:val="VerbatimChar"/>
          <w:sz w:val="18"/>
          <w:szCs w:val="18"/>
        </w:rPr>
        <w:t xml:space="preserve">lme4::glmer</w:t>
      </w:r>
      <w:r>
        <w:rPr>
          <w:sz w:val="18"/>
          <w:szCs w:val="18"/>
        </w:rPr>
        <w:t xml:space="preserve"> </w:t>
      </w:r>
      <w:r>
        <w:rPr>
          <w:sz w:val="18"/>
          <w:szCs w:val="18"/>
        </w:rPr>
        <w:t xml:space="preserve">com</w:t>
      </w:r>
      <w:r>
        <w:rPr>
          <w:sz w:val="18"/>
          <w:szCs w:val="18"/>
        </w:rPr>
        <w:t xml:space="preserve"> </w:t>
      </w:r>
      <w:r>
        <w:rPr>
          <w:rStyle w:val="VerbatimChar"/>
          <w:sz w:val="18"/>
          <w:szCs w:val="18"/>
        </w:rPr>
        <w:t xml:space="preserve">nAGQ = 0</w:t>
      </w:r>
      <w:r>
        <w:rPr>
          <w:sz w:val="18"/>
          <w:szCs w:val="18"/>
        </w:rPr>
        <w:t xml:space="preserve"> </w:t>
      </w:r>
      <w:r>
        <w:rPr>
          <w:sz w:val="18"/>
          <w:szCs w:val="18"/>
        </w:rPr>
        <w:t xml:space="preserve">— os efeitos fixos são estimados</w:t>
      </w:r>
      <w:r>
        <w:rPr>
          <w:sz w:val="18"/>
          <w:szCs w:val="18"/>
        </w:rPr>
        <w:t xml:space="preserve"> </w:t>
      </w:r>
      <w:r>
        <w:rPr>
          <w:sz w:val="18"/>
          <w:szCs w:val="18"/>
        </w:rPr>
        <w:t xml:space="preserve">junto com os modos condicionais, aproximação mais rápida que a de Laplace e adequada a</w:t>
      </w:r>
      <w:r>
        <w:rPr>
          <w:sz w:val="18"/>
          <w:szCs w:val="18"/>
        </w:rPr>
        <w:t xml:space="preserve"> </w:t>
      </w:r>
      <m:oMath>
        <m:r>
          <m:t>N</m:t>
        </m:r>
      </m:oMath>
      <w:r>
        <w:rPr>
          <w:sz w:val="18"/>
          <w:szCs w:val="18"/>
        </w:rPr>
        <w:t xml:space="preserve"> </w:t>
      </w:r>
      <w:r>
        <w:rPr>
          <w:sz w:val="18"/>
          <w:szCs w:val="18"/>
        </w:rPr>
        <w:t xml:space="preserve">de milhões —, sobre a população completa.</w:t>
      </w:r>
      <w:r>
        <w:rPr>
          <w:sz w:val="18"/>
          <w:szCs w:val="18"/>
        </w:rPr>
        <w:t xml:space="preserve"> </w:t>
      </w:r>
      <w:r>
        <w:rPr>
          <w:sz w:val="18"/>
          <w:szCs w:val="18"/>
        </w:rPr>
        <w:t xml:space="preserve">Os degraus são: A1 individual; A2</w:t>
      </w:r>
      <w:r>
        <w:rPr>
          <w:sz w:val="18"/>
          <w:szCs w:val="18"/>
        </w:rPr>
        <w:t xml:space="preserve"> </w:t>
      </w:r>
      <m:oMath>
        <m:r>
          <m:rPr>
            <m:sty m:val="p"/>
          </m:rPr>
          <m:t>+</m:t>
        </m:r>
      </m:oMath>
      <w:r>
        <w:rPr>
          <w:sz w:val="18"/>
          <w:szCs w:val="18"/>
        </w:rPr>
        <w:t xml:space="preserve"> </w:t>
      </w:r>
      <w:r>
        <w:rPr>
          <w:sz w:val="18"/>
          <w:szCs w:val="18"/>
        </w:rPr>
        <w:t xml:space="preserve">contexto do bairro; A3</w:t>
      </w:r>
      <w:r>
        <w:rPr>
          <w:sz w:val="18"/>
          <w:szCs w:val="18"/>
        </w:rPr>
        <w:t xml:space="preserve"> </w:t>
      </w:r>
      <m:oMath>
        <m:r>
          <m:rPr>
            <m:sty m:val="p"/>
          </m:rPr>
          <m:t>+</m:t>
        </m:r>
      </m:oMath>
      <w:r>
        <w:rPr>
          <w:sz w:val="18"/>
          <w:szCs w:val="18"/>
        </w:rPr>
        <w:t xml:space="preserve"> </w:t>
      </w:r>
      <w:r>
        <w:rPr>
          <w:sz w:val="18"/>
          <w:szCs w:val="18"/>
        </w:rPr>
        <w:t xml:space="preserve">vínculo (formalidade,</w:t>
      </w:r>
      <w:r>
        <w:rPr>
          <w:sz w:val="18"/>
          <w:szCs w:val="18"/>
        </w:rPr>
        <w:t xml:space="preserve"> </w:t>
      </w:r>
      <w:r>
        <w:rPr>
          <w:sz w:val="18"/>
          <w:szCs w:val="18"/>
        </w:rPr>
        <w:t xml:space="preserve">setor público, conta própria, doméstico), que é desfecho da própria discriminação e por</w:t>
      </w:r>
      <w:r>
        <w:rPr>
          <w:sz w:val="18"/>
          <w:szCs w:val="18"/>
        </w:rPr>
        <w:t xml:space="preserve"> </w:t>
      </w:r>
      <w:r>
        <w:rPr>
          <w:sz w:val="18"/>
          <w:szCs w:val="18"/>
        </w:rPr>
        <w:t xml:space="preserve">isso faz do A3 um limite inferior; A4</w:t>
      </w:r>
      <w:r>
        <w:rPr>
          <w:sz w:val="18"/>
          <w:szCs w:val="18"/>
        </w:rPr>
        <w:t xml:space="preserve"> </w:t>
      </w:r>
      <m:oMath>
        <m:r>
          <m:rPr>
            <m:sty m:val="p"/>
          </m:rPr>
          <m:t>+</m:t>
        </m:r>
      </m:oMath>
      <w:r>
        <w:rPr>
          <w:sz w:val="18"/>
          <w:szCs w:val="18"/>
        </w:rPr>
        <w:t xml:space="preserve"> </w:t>
      </w:r>
      <w:r>
        <w:rPr>
          <w:sz w:val="18"/>
          <w:szCs w:val="18"/>
        </w:rPr>
        <w:t xml:space="preserve">interação</w:t>
      </w:r>
      <w:r>
        <w:rPr>
          <w:sz w:val="18"/>
          <w:szCs w:val="18"/>
        </w:rPr>
        <w:t xml:space="preserve"> </w:t>
      </w:r>
      <w:r>
        <w:rPr>
          <w:rStyle w:val="VerbatimChar"/>
          <w:sz w:val="18"/>
          <w:szCs w:val="18"/>
        </w:rPr>
        <w:t xml:space="preserve">negro</w:t>
      </w:r>
      <m:oMath>
        <m:r>
          <m:rPr>
            <m:sty m:val="p"/>
          </m:rPr>
          <m:t>×</m:t>
        </m:r>
      </m:oMath>
      <w:r>
        <w:rPr>
          <w:sz w:val="18"/>
          <w:szCs w:val="18"/>
        </w:rPr>
        <w:t xml:space="preserve">credencial. A</w:t>
      </w:r>
      <w:r>
        <w:rPr>
          <w:sz w:val="18"/>
          <w:szCs w:val="18"/>
        </w:rPr>
        <w:t xml:space="preserve"> </w:t>
      </w:r>
      <w:r>
        <w:rPr>
          <w:sz w:val="18"/>
          <w:szCs w:val="18"/>
        </w:rPr>
        <w:t xml:space="preserve">Tabela 8 traz</w:t>
      </w:r>
      <w:r>
        <w:rPr>
          <w:sz w:val="18"/>
          <w:szCs w:val="18"/>
        </w:rPr>
        <w:t xml:space="preserve"> </w:t>
      </w:r>
      <w:r>
        <w:rPr>
          <w:sz w:val="18"/>
          <w:szCs w:val="18"/>
        </w:rPr>
        <w:t xml:space="preserve">odds ratios</w:t>
      </w:r>
      <w:r>
        <w:rPr>
          <w:sz w:val="18"/>
          <w:szCs w:val="18"/>
        </w:rPr>
        <w:t xml:space="preserve">, efeitos marginais, ICC e</w:t>
      </w:r>
      <w:r>
        <w:rPr>
          <w:sz w:val="18"/>
          <w:szCs w:val="18"/>
        </w:rPr>
        <w:t xml:space="preserve"> </w:t>
      </w:r>
      <w:r>
        <w:rPr>
          <w:sz w:val="18"/>
          <w:szCs w:val="18"/>
        </w:rPr>
        <w:t xml:space="preserve">E-values; a Tabela 7, o ajuste e a classificação.</w:t>
      </w:r>
    </w:p>
  </w:footnote>
  <w:footnote w:id="6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Correlação intraclasse latente do M1:</w:t>
      </w:r>
      <w:r>
        <w:rPr>
          <w:sz w:val="18"/>
          <w:szCs w:val="18"/>
        </w:rPr>
        <w:t xml:space="preserve"> </w:t>
      </w:r>
      <w:r>
        <w:rPr>
          <w:sz w:val="18"/>
          <w:szCs w:val="18"/>
        </w:rPr>
        <w:t xml:space="preserve">0,087 para o cargo qualificado e 0,221 para o top 10%, com</w:t>
      </w:r>
      <w:r>
        <w:rPr>
          <w:sz w:val="18"/>
          <w:szCs w:val="18"/>
        </w:rPr>
        <w:t xml:space="preserve"> </w:t>
      </w:r>
      <w:r>
        <w:rPr>
          <w:sz w:val="18"/>
          <w:szCs w:val="18"/>
        </w:rPr>
        <w:t xml:space="preserve">ICC</w:t>
      </w:r>
      <w:r>
        <w:rPr>
          <w:sz w:val="18"/>
          <w:szCs w:val="18"/>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sz w:val="18"/>
          <w:szCs w:val="18"/>
        </w:rPr>
        <w:t xml:space="preserve">. O teste de razão de verossimilhança contra o logit sem</w:t>
      </w:r>
      <w:r>
        <w:rPr>
          <w:sz w:val="18"/>
          <w:szCs w:val="18"/>
        </w:rPr>
        <w:t xml:space="preserve"> </w:t>
      </w:r>
      <w:r>
        <w:rPr>
          <w:sz w:val="18"/>
          <w:szCs w:val="18"/>
        </w:rPr>
        <w:t xml:space="preserve">efeito aleatório dá LR</w:t>
      </w:r>
      <w:r>
        <w:rPr>
          <w:sz w:val="18"/>
          <w:szCs w:val="18"/>
        </w:rPr>
        <w:t xml:space="preserve"> </w:t>
      </w:r>
      <m:oMath>
        <m:r>
          <m:rPr>
            <m:sty m:val="p"/>
          </m:rPr>
          <m:t>=</m:t>
        </m:r>
      </m:oMath>
      <w:r>
        <w:rPr>
          <w:sz w:val="18"/>
          <w:szCs w:val="18"/>
        </w:rPr>
        <w:t xml:space="preserve"> </w:t>
      </w:r>
      <w:r>
        <w:rPr>
          <w:sz w:val="18"/>
          <w:szCs w:val="18"/>
        </w:rPr>
        <w:t xml:space="preserve">77.940 para o cargo e 80.791 para o top 10%</w:t>
      </w:r>
      <w:r>
        <w:rPr>
          <w:sz w:val="18"/>
          <w:szCs w:val="18"/>
        </w:rPr>
        <w:t xml:space="preserve"> </w:t>
      </w:r>
      <w:r>
        <w:rPr>
          <w:sz w:val="18"/>
          <w:szCs w:val="18"/>
        </w:rPr>
        <w:t xml:space="preserve">(1 g.l.,</w:t>
      </w:r>
      <w:r>
        <w:rPr>
          <w:sz w:val="18"/>
          <w:szCs w:val="18"/>
        </w:rPr>
        <w:t xml:space="preserve"> </w:t>
      </w:r>
      <m:oMath>
        <m:r>
          <m:t>p</m:t>
        </m:r>
        <m:r>
          <m:rPr>
            <m:sty m:val="p"/>
          </m:rPr>
          <m:t>&lt;</m:t>
        </m:r>
        <m:r>
          <m:t>0</m:t>
        </m:r>
        <m:r>
          <m:rPr>
            <m:sty m:val="p"/>
          </m:rPr>
          <m:t>,</m:t>
        </m:r>
        <m:r>
          <m:t>001</m:t>
        </m:r>
      </m:oMath>
      <w:r>
        <w:rPr>
          <w:sz w:val="18"/>
          <w:szCs w:val="18"/>
        </w:rPr>
        <w:t xml:space="preserve">).</w:t>
      </w:r>
    </w:p>
  </w:footnote>
  <w:footnote w:id="69">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0,810–0,818.</w:t>
      </w:r>
      <w:r>
        <w:rPr>
          <w:sz w:val="18"/>
          <w:szCs w:val="18"/>
        </w:rPr>
        <w:t xml:space="preserve"> </w:t>
      </w:r>
      <w:r>
        <w:rPr>
          <w:sz w:val="18"/>
          <w:szCs w:val="18"/>
        </w:rPr>
        <w:t xml:space="preserve">Odds ratio</w:t>
      </w:r>
      <w:r>
        <w:rPr>
          <w:sz w:val="18"/>
          <w:szCs w:val="18"/>
        </w:rPr>
        <w:t xml:space="preserve"> </w:t>
      </w:r>
      <w:r>
        <w:rPr>
          <w:sz w:val="18"/>
          <w:szCs w:val="18"/>
        </w:rPr>
        <w:t xml:space="preserve">abaixo de 1 é</w:t>
      </w:r>
      <w:r>
        <w:rPr>
          <w:sz w:val="18"/>
          <w:szCs w:val="18"/>
        </w:rPr>
        <w:t xml:space="preserve"> </w:t>
      </w:r>
      <w:r>
        <w:rPr>
          <w:sz w:val="18"/>
          <w:szCs w:val="18"/>
        </w:rPr>
        <w:t xml:space="preserve">desvantagem; acima de 1, vantagem.</w:t>
      </w:r>
    </w:p>
  </w:footnote>
  <w:footnote w:id="74">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AUC de 0,878 com</w:t>
      </w:r>
      <w:r>
        <w:rPr>
          <w:sz w:val="18"/>
          <w:szCs w:val="18"/>
        </w:rPr>
        <w:t xml:space="preserve"> </w:t>
      </w:r>
      <w:r>
        <w:rPr>
          <w:sz w:val="18"/>
          <w:szCs w:val="18"/>
        </w:rPr>
        <w:t xml:space="preserve">efeitos aleatórios e 0,870 só com efeitos fixos, para o cargo qualificado;</w:t>
      </w:r>
      <w:r>
        <w:rPr>
          <w:sz w:val="18"/>
          <w:szCs w:val="18"/>
        </w:rPr>
        <w:t xml:space="preserve"> </w:t>
      </w:r>
      <w:r>
        <w:rPr>
          <w:sz w:val="18"/>
          <w:szCs w:val="18"/>
        </w:rPr>
        <w:t xml:space="preserve">no</w:t>
      </w:r>
      <w:r>
        <w:rPr>
          <w:sz w:val="18"/>
          <w:szCs w:val="18"/>
        </w:rPr>
        <w:t xml:space="preserve"> </w:t>
      </w:r>
      <w:r>
        <w:rPr>
          <w:sz w:val="18"/>
          <w:szCs w:val="18"/>
        </w:rPr>
        <w:t xml:space="preserve">cutoff</w:t>
      </w:r>
      <w:r>
        <w:rPr>
          <w:sz w:val="18"/>
          <w:szCs w:val="18"/>
        </w:rPr>
        <w:t xml:space="preserve"> </w:t>
      </w:r>
      <w:r>
        <w:rPr>
          <w:sz w:val="18"/>
          <w:szCs w:val="18"/>
        </w:rPr>
        <w:t xml:space="preserve">de Youden (0,30), sensibilidade 0,79 e</w:t>
      </w:r>
      <w:r>
        <w:rPr>
          <w:sz w:val="18"/>
          <w:szCs w:val="18"/>
        </w:rPr>
        <w:t xml:space="preserve"> </w:t>
      </w:r>
      <w:r>
        <w:rPr>
          <w:sz w:val="18"/>
          <w:szCs w:val="18"/>
        </w:rPr>
        <w:t xml:space="preserve">especificidade 0,79. O teste de Hosmer–Lemeshow rejeita a calibração</w:t>
      </w:r>
      <w:r>
        <w:rPr>
          <w:sz w:val="18"/>
          <w:szCs w:val="18"/>
        </w:rPr>
        <w:t xml:space="preserve"> </w:t>
      </w:r>
      <w:r>
        <w:rPr>
          <w:sz w:val="18"/>
          <w:szCs w:val="18"/>
        </w:rPr>
        <w:t xml:space="preserve">perfeita em todos os degraus — inevitável com</w:t>
      </w:r>
      <w:r>
        <w:rPr>
          <w:sz w:val="18"/>
          <w:szCs w:val="18"/>
        </w:rPr>
        <w:t xml:space="preserve"> </w:t>
      </w:r>
      <m:oMath>
        <m:r>
          <m:t>N</m:t>
        </m:r>
      </m:oMath>
      <w:r>
        <w:rPr>
          <w:sz w:val="18"/>
          <w:szCs w:val="18"/>
        </w:rPr>
        <w:t xml:space="preserve"> </w:t>
      </w:r>
      <w:r>
        <w:rPr>
          <w:sz w:val="18"/>
          <w:szCs w:val="18"/>
        </w:rPr>
        <w:t xml:space="preserve">de milhões</w:t>
      </w:r>
      <w:r>
        <w:rPr>
          <w:sz w:val="18"/>
          <w:szCs w:val="18"/>
        </w:rPr>
        <w:t xml:space="preserve"> </w:t>
      </w:r>
      <w:r>
        <w:rPr>
          <w:sz w:val="18"/>
          <w:szCs w:val="18"/>
        </w:rPr>
        <w:t xml:space="preserve">(Angrist e Pischke, 2009)</w:t>
      </w:r>
      <w:r>
        <w:rPr>
          <w:sz w:val="18"/>
          <w:szCs w:val="18"/>
        </w:rPr>
        <w:t xml:space="preserve"> </w:t>
      </w:r>
      <w:r>
        <w:rPr>
          <w:sz w:val="18"/>
          <w:szCs w:val="18"/>
        </w:rPr>
        <w:t xml:space="preserve">—,</w:t>
      </w:r>
      <w:r>
        <w:rPr>
          <w:sz w:val="18"/>
          <w:szCs w:val="18"/>
        </w:rPr>
        <w:t xml:space="preserve"> </w:t>
      </w:r>
      <w:r>
        <w:rPr>
          <w:sz w:val="18"/>
          <w:szCs w:val="18"/>
        </w:rPr>
        <w:t xml:space="preserve">mas a estatística cai 69% no top 20% e 54% no top 10%, embora suba no cargo qualificado ao se acrescentar o vínculo (A3).</w:t>
      </w:r>
    </w:p>
  </w:footnote>
  <w:footnote w:id="8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GLMM de acesso reespecificado com</w:t>
      </w:r>
      <w:r>
        <w:rPr>
          <w:sz w:val="18"/>
          <w:szCs w:val="18"/>
        </w:rPr>
        <w:t xml:space="preserve"> </w:t>
      </w:r>
      <w:r>
        <w:rPr>
          <w:rStyle w:val="VerbatimChar"/>
          <w:sz w:val="18"/>
          <w:szCs w:val="18"/>
        </w:rPr>
        <w:t xml:space="preserve">grupo_rg</w:t>
      </w:r>
      <w:r>
        <w:rPr>
          <w:sz w:val="18"/>
          <w:szCs w:val="18"/>
        </w:rPr>
        <w:t xml:space="preserve"> </w:t>
      </w:r>
      <w:r>
        <w:rPr>
          <w:sz w:val="18"/>
          <w:szCs w:val="18"/>
        </w:rPr>
        <w:t xml:space="preserve">(homem branco como</w:t>
      </w:r>
      <w:r>
        <w:rPr>
          <w:sz w:val="18"/>
          <w:szCs w:val="18"/>
        </w:rPr>
        <w:t xml:space="preserve"> </w:t>
      </w:r>
      <w:r>
        <w:rPr>
          <w:sz w:val="18"/>
          <w:szCs w:val="18"/>
        </w:rPr>
        <w:t xml:space="preserve">referência, mulher branca, homem negro, mulher negra) e 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em três desfechos: ocupação qualificada (CBO 1–4),</w:t>
      </w:r>
      <w:r>
        <w:rPr>
          <w:sz w:val="18"/>
          <w:szCs w:val="18"/>
        </w:rPr>
        <w:t xml:space="preserve"> </w:t>
      </w:r>
      <w:r>
        <w:rPr>
          <w:sz w:val="18"/>
          <w:szCs w:val="18"/>
        </w:rPr>
        <w:t xml:space="preserve">renda no top 20% e no top 10%.</w:t>
      </w:r>
    </w:p>
  </w:footnote>
  <w:footnote w:id="92">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w:t>
      </w:r>
      <w:r>
        <w:rPr>
          <w:sz w:val="18"/>
          <w:szCs w:val="18"/>
        </w:rPr>
        <w:t xml:space="preserve">é</w:t>
      </w:r>
      <w:r>
        <w:rPr>
          <w:sz w:val="18"/>
          <w:szCs w:val="18"/>
        </w:rPr>
        <w:t xml:space="preserve"> </w:t>
      </w:r>
      <w:r>
        <w:rPr>
          <w:sz w:val="18"/>
          <w:szCs w:val="18"/>
        </w:rPr>
        <w:t xml:space="preserve">sub-aditiva</w:t>
      </w:r>
      <w:r>
        <w:rPr>
          <w:sz w:val="18"/>
          <w:szCs w:val="18"/>
        </w:rPr>
        <w:t xml:space="preserve"> </w:t>
      </w:r>
      <w:r>
        <w:rPr>
          <w:sz w:val="18"/>
          <w:szCs w:val="18"/>
        </w:rPr>
        <w:t xml:space="preserve">em todos os desfechos (OR </w:t>
      </w:r>
      <m:oMath>
        <m:r>
          <m:rPr>
            <m:sty m:val="p"/>
          </m:rPr>
          <m:t>=</m:t>
        </m:r>
        <m:r>
          <m:t>1</m:t>
        </m:r>
        <m:r>
          <m:rPr>
            <m:sty m:val="p"/>
          </m:rPr>
          <m:t>,</m:t>
        </m:r>
        <m:r>
          <m:t>10</m:t>
        </m:r>
      </m:oMath>
      <w:r>
        <w:rPr>
          <w:sz w:val="18"/>
          <w:szCs w:val="18"/>
        </w:rPr>
        <w:t xml:space="preserve"> </w:t>
      </w:r>
      <w:r>
        <w:rPr>
          <w:sz w:val="18"/>
          <w:szCs w:val="18"/>
        </w:rPr>
        <w:t xml:space="preserve">no acesso;</w:t>
      </w:r>
      <w:r>
        <w:rPr>
          <w:sz w:val="18"/>
          <w:szCs w:val="18"/>
        </w:rPr>
        <w:t xml:space="preserve"> </w:t>
      </w:r>
      <m:oMath>
        <m:r>
          <m:rPr>
            <m:sty m:val="p"/>
          </m:rPr>
          <m:t>=</m:t>
        </m:r>
        <m:r>
          <m:t>1</m:t>
        </m:r>
        <m:r>
          <m:rPr>
            <m:sty m:val="p"/>
          </m:rPr>
          <m:t>,</m:t>
        </m:r>
        <m:r>
          <m:t>04</m:t>
        </m:r>
      </m:oMath>
      <w:r>
        <w:rPr>
          <w:sz w:val="18"/>
          <w:szCs w:val="18"/>
        </w:rPr>
        <w:t xml:space="preserve"> </w:t>
      </w:r>
      <w:r>
        <w:rPr>
          <w:sz w:val="18"/>
          <w:szCs w:val="18"/>
        </w:rPr>
        <w:t xml:space="preserve">no top 10%): a penalidade racial é um pouco menor entre</w:t>
      </w:r>
      <w:r>
        <w:rPr>
          <w:sz w:val="18"/>
          <w:szCs w:val="18"/>
        </w:rPr>
        <w:t xml:space="preserve"> </w:t>
      </w:r>
      <w:r>
        <w:rPr>
          <w:sz w:val="18"/>
          <w:szCs w:val="18"/>
        </w:rPr>
        <w:t xml:space="preserve">mulheres do que entre homens, o que atenua a soma sem desfazê-la.</w:t>
      </w:r>
    </w:p>
  </w:footnote>
  <w:footnote w:id="9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Profundidade 10, com</w:t>
      </w:r>
      <w:r>
        <w:rPr>
          <w:sz w:val="18"/>
          <w:szCs w:val="18"/>
        </w:rP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rPr>
          <w:sz w:val="18"/>
          <w:szCs w:val="18"/>
        </w:rPr>
        <w:t xml:space="preserve"> </w:t>
      </w:r>
      <w:r>
        <w:rPr>
          <w:sz w:val="18"/>
          <w:szCs w:val="18"/>
        </w:rPr>
        <w:t xml:space="preserve">entre os</w:t>
      </w:r>
      <w:r>
        <w:rPr>
          <w:sz w:val="18"/>
          <w:szCs w:val="18"/>
        </w:rPr>
        <w:t xml:space="preserve"> </w:t>
      </w:r>
      <w:r>
        <w:rPr>
          <w:sz w:val="18"/>
          <w:szCs w:val="18"/>
        </w:rPr>
        <w:t xml:space="preserve">folds</w:t>
      </w:r>
      <w:r>
        <w:rPr>
          <w:sz w:val="18"/>
          <w:szCs w:val="18"/>
        </w:rPr>
        <w:t xml:space="preserve">, contra</w:t>
      </w:r>
      <w:r>
        <w:rPr>
          <w:sz w:val="18"/>
          <w:szCs w:val="18"/>
        </w:rPr>
        <w:t xml:space="preserve"> </w:t>
      </w:r>
      <w:r>
        <w:rPr>
          <w:sz w:val="18"/>
          <w:szCs w:val="18"/>
        </w:rPr>
        <w:t xml:space="preserve">0,6294</w:t>
      </w:r>
      <w:r>
        <w:rPr>
          <w:sz w:val="18"/>
          <w:szCs w:val="18"/>
        </w:rPr>
        <w:t xml:space="preserve"> </w:t>
      </w:r>
      <m:oMath>
        <m:r>
          <m:rPr>
            <m:sty m:val="p"/>
          </m:rPr>
          <m:t>±</m:t>
        </m:r>
      </m:oMath>
      <w:r>
        <w:rPr>
          <w:sz w:val="18"/>
          <w:szCs w:val="18"/>
        </w:rPr>
        <w:t xml:space="preserve"> </w:t>
      </w:r>
      <w:r>
        <w:rPr>
          <w:sz w:val="18"/>
          <w:szCs w:val="18"/>
        </w:rPr>
        <w:t xml:space="preserve">0,0006 da profundidade 6 de referência, sobre</w:t>
      </w:r>
      <w:r>
        <w:rPr>
          <w:sz w:val="18"/>
          <w:szCs w:val="18"/>
        </w:rPr>
        <w:t xml:space="preserve"> </w:t>
      </w:r>
      <w:r>
        <w:rPr>
          <w:sz w:val="18"/>
          <w:szCs w:val="18"/>
        </w:rPr>
        <w:t xml:space="preserve">6.159.418 observações de treino.</w:t>
      </w:r>
    </w:p>
  </w:footnote>
  <w:footnote w:id="10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População completa,</w:t>
      </w:r>
      <w:r>
        <w:rPr>
          <w:sz w:val="18"/>
          <w:szCs w:val="18"/>
        </w:rPr>
        <w:t xml:space="preserve"> </w:t>
      </w:r>
      <m:oMath>
        <m:r>
          <m:t>N</m:t>
        </m:r>
        <m:r>
          <m:rPr>
            <m:sty m:val="p"/>
          </m:rPr>
          <m:t>=</m:t>
        </m:r>
        <m:r>
          <m:t>7.699</m:t>
        </m:r>
        <m:r>
          <m:t>.273</m:t>
        </m:r>
      </m:oMath>
      <w:r>
        <w:rPr>
          <w:sz w:val="18"/>
          <w:szCs w:val="18"/>
        </w:rPr>
        <w:t xml:space="preserve">, com 80% para</w:t>
      </w:r>
      <w:r>
        <w:rPr>
          <w:sz w:val="18"/>
          <w:szCs w:val="18"/>
        </w:rPr>
        <w:t xml:space="preserve"> </w:t>
      </w:r>
      <w:r>
        <w:rPr>
          <w:sz w:val="18"/>
          <w:szCs w:val="18"/>
        </w:rPr>
        <w:t xml:space="preserve">treino e 20% para teste; o mesmo</w:t>
      </w:r>
      <w:r>
        <w:rPr>
          <w:sz w:val="18"/>
          <w:szCs w:val="18"/>
        </w:rPr>
        <w:t xml:space="preserve"> </w:t>
      </w:r>
      <w:r>
        <w:rPr>
          <w:sz w:val="18"/>
          <w:szCs w:val="18"/>
        </w:rPr>
        <w:t xml:space="preserve">gap</w:t>
      </w:r>
      <w:r>
        <w:rPr>
          <w:sz w:val="18"/>
          <w:szCs w:val="18"/>
        </w:rPr>
        <w:t xml:space="preserve"> </w:t>
      </w:r>
      <w:r>
        <w:rPr>
          <w:sz w:val="18"/>
          <w:szCs w:val="18"/>
        </w:rPr>
        <w:t xml:space="preserve">aparece no Random Forest.</w:t>
      </w:r>
    </w:p>
  </w:footnote>
  <w:footnote w:id="10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15</w:t>
      </w:r>
      <w:r>
        <w:rPr>
          <w:vertAlign w:val="superscript"/>
          <w:sz w:val="18"/>
          <w:szCs w:val="18"/>
        </w:rPr>
        <w:t xml:space="preserve">a</w:t>
      </w:r>
      <w:r>
        <w:rPr>
          <w:sz w:val="18"/>
          <w:szCs w:val="18"/>
        </w:rPr>
        <w:t xml:space="preserve"> </w:t>
      </w:r>
      <w:r>
        <w:rPr>
          <w:sz w:val="18"/>
          <w:szCs w:val="18"/>
        </w:rPr>
        <w:t xml:space="preserve">de 27 variáveis no modelo sem renda de vizinhança, contra</w:t>
      </w:r>
      <w:r>
        <w:rPr>
          <w:sz w:val="18"/>
          <w:szCs w:val="18"/>
        </w:rPr>
        <w:t xml:space="preserve"> </w:t>
      </w:r>
      <w:r>
        <w:rPr>
          <w:sz w:val="18"/>
          <w:szCs w:val="18"/>
        </w:rPr>
        <w:t xml:space="preserve">14</w:t>
      </w:r>
      <w:r>
        <w:rPr>
          <w:vertAlign w:val="superscript"/>
          <w:sz w:val="18"/>
          <w:szCs w:val="18"/>
        </w:rPr>
        <w:t xml:space="preserve">a</w:t>
      </w:r>
      <w:r>
        <w:rPr>
          <w:sz w:val="18"/>
          <w:szCs w:val="18"/>
        </w:rPr>
        <w:t xml:space="preserve"> </w:t>
      </w:r>
      <w:r>
        <w:rPr>
          <w:sz w:val="18"/>
          <w:szCs w:val="18"/>
        </w:rPr>
        <w:t xml:space="preserve">de 28 no modelo completo.</w:t>
      </w:r>
    </w:p>
  </w:footnote>
  <w:footnote w:id="10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Contribuição média da variável racial à previsão, com sinal:</w:t>
      </w:r>
      <w:r>
        <w:rPr>
          <w:sz w:val="18"/>
          <w:szCs w:val="18"/>
        </w:rPr>
        <w:t xml:space="preserve"> </w:t>
      </w:r>
      <m:oMath>
        <m:r>
          <m:rPr>
            <m:sty m:val="p"/>
          </m:rPr>
          <m:t>−</m:t>
        </m:r>
        <m:r>
          <m:t>0</m:t>
        </m:r>
        <m:r>
          <m:rPr>
            <m:sty m:val="p"/>
          </m:rPr>
          <m:t>,</m:t>
        </m:r>
        <m:r>
          <m:t>0241</m:t>
        </m:r>
      </m:oMath>
      <w:r>
        <w:rPr>
          <w:sz w:val="18"/>
          <w:szCs w:val="18"/>
        </w:rPr>
        <w:t xml:space="preserve"> </w:t>
      </w:r>
      <w:r>
        <w:rPr>
          <w:sz w:val="18"/>
          <w:szCs w:val="18"/>
        </w:rPr>
        <w:t xml:space="preserve">log-pontos entre os negros e</w:t>
      </w:r>
      <w:r>
        <w:rPr>
          <w:sz w:val="18"/>
          <w:szCs w:val="18"/>
        </w:rPr>
        <w:t xml:space="preserve"> </w:t>
      </w:r>
      <m:oMath>
        <m:r>
          <m:rPr>
            <m:sty m:val="p"/>
          </m:rPr>
          <m:t>+</m:t>
        </m:r>
        <m:r>
          <m:t>0</m:t>
        </m:r>
        <m:r>
          <m:rPr>
            <m:sty m:val="p"/>
          </m:rPr>
          <m:t>,</m:t>
        </m:r>
        <m:r>
          <m:t>0299</m:t>
        </m:r>
      </m:oMath>
      <w:r>
        <w:rPr>
          <w:sz w:val="18"/>
          <w:szCs w:val="18"/>
        </w:rPr>
        <w:t xml:space="preserve"> </w:t>
      </w:r>
      <w:r>
        <w:rPr>
          <w:sz w:val="18"/>
          <w:szCs w:val="18"/>
        </w:rPr>
        <w:t xml:space="preserve">entre os brancos (XGBoost,</w:t>
      </w:r>
      <w:r>
        <w:rPr>
          <w:sz w:val="18"/>
          <w:szCs w:val="18"/>
        </w:rPr>
        <w:t xml:space="preserve"> </w:t>
      </w:r>
      <m:oMath>
        <m:sSub>
          <m:e>
            <m:r>
              <m:t>N</m:t>
            </m:r>
          </m:e>
          <m:sub>
            <m:r>
              <m:rPr>
                <m:nor/>
                <m:sty m:val="p"/>
              </m:rPr>
              <m:t>SHAP</m:t>
            </m:r>
          </m:sub>
        </m:sSub>
        <m:r>
          <m:rPr>
            <m:sty m:val="p"/>
          </m:rPr>
          <m:t>=</m:t>
        </m:r>
        <m:r>
          <m:t>50.000</m:t>
        </m:r>
      </m:oMath>
      <w:r>
        <w:rPr>
          <w:sz w:val="18"/>
          <w:szCs w:val="18"/>
        </w:rPr>
        <w:t xml:space="preserve">;</w:t>
      </w:r>
      <w:r>
        <w:rPr>
          <w:sz w:val="18"/>
          <w:szCs w:val="18"/>
        </w:rPr>
        <w:t xml:space="preserve"> </w:t>
      </w:r>
      <w:r>
        <w:rPr>
          <w:rStyle w:val="VerbatimChar"/>
          <w:sz w:val="18"/>
          <w:szCs w:val="18"/>
        </w:rPr>
        <w:t xml:space="preserve">shap_negro_por_grupo.csv</w:t>
      </w:r>
      <w:r>
        <w:rPr>
          <w:sz w:val="18"/>
          <w:szCs w:val="18"/>
        </w:rPr>
        <w:t xml:space="preserve">). A média de um</w:t>
      </w:r>
      <w:r>
        <w:rPr>
          <w:sz w:val="18"/>
          <w:szCs w:val="18"/>
        </w:rPr>
        <w:t xml:space="preserve"> </w:t>
      </w:r>
      <w:r>
        <w:rPr>
          <w:sz w:val="18"/>
          <w:szCs w:val="18"/>
        </w:rPr>
        <w:t xml:space="preserve">grupo mede o desvio em relação à previsão média da base, que mistura os dois; o</w:t>
      </w:r>
      <w:r>
        <w:rPr>
          <w:sz w:val="18"/>
          <w:szCs w:val="18"/>
        </w:rPr>
        <w:t xml:space="preserve"> </w:t>
      </w:r>
      <w:r>
        <w:rPr>
          <w:sz w:val="18"/>
          <w:szCs w:val="18"/>
        </w:rPr>
        <w:t xml:space="preserve">que corresponde ao coeficiente racial das regressões é o contraste entre elas.</w:t>
      </w:r>
    </w:p>
  </w:footnote>
  <w:footnote w:id="115">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Calculado sobre a população completa da PEA com renda positiva. Dos</w:t>
      </w:r>
      <w:r>
        <w:rPr>
          <w:sz w:val="18"/>
          <w:szCs w:val="18"/>
        </w:rPr>
        <w:t xml:space="preserve"> </w:t>
      </w:r>
      <m:oMath>
        <m:r>
          <m:t>23</m:t>
        </m:r>
      </m:oMath>
      <w:r>
        <w:rPr>
          <w:sz w:val="18"/>
          <w:szCs w:val="18"/>
        </w:rPr>
        <w:t xml:space="preserve"> </w:t>
      </w:r>
      <w:r>
        <w:rPr>
          <w:sz w:val="18"/>
          <w:szCs w:val="18"/>
        </w:rPr>
        <w:t xml:space="preserve">preditores analisados, VIF máximo </w:t>
      </w:r>
      <m:oMath>
        <m:r>
          <m:rPr>
            <m:sty m:val="p"/>
          </m:rPr>
          <m:t>=</m:t>
        </m:r>
        <m:r>
          <m:t>2</m:t>
        </m:r>
        <m:r>
          <m:rPr>
            <m:sty m:val="p"/>
          </m:rPr>
          <m:t>,</m:t>
        </m:r>
        <m:r>
          <m:t>66</m:t>
        </m:r>
      </m:oMath>
      <w:r>
        <w:rPr>
          <w:sz w:val="18"/>
          <w:szCs w:val="18"/>
        </w:rPr>
        <w:t xml:space="preserve"> </w:t>
      </w:r>
      <w:r>
        <w:rPr>
          <w:sz w:val="18"/>
          <w:szCs w:val="18"/>
        </w:rPr>
        <w:t xml:space="preserve">(CBO: Profissionais); 0 variáveis críticas</w:t>
      </w:r>
      <w:r>
        <w:rPr>
          <w:sz w:val="18"/>
          <w:szCs w:val="18"/>
        </w:rPr>
        <w:t xml:space="preserve"> </w:t>
      </w:r>
      <w:r>
        <w:rPr>
          <w:sz w:val="18"/>
          <w:szCs w:val="18"/>
        </w:rPr>
        <w:t xml:space="preserve">(VIF </w:t>
      </w:r>
      <m:oMath>
        <m:r>
          <m:rPr>
            <m:sty m:val="p"/>
          </m:rPr>
          <m:t>&gt;</m:t>
        </m:r>
        <m:r>
          <m:t>10</m:t>
        </m:r>
      </m:oMath>
      <w:r>
        <w:rPr>
          <w:sz w:val="18"/>
          <w:szCs w:val="18"/>
        </w:rPr>
        <w:t xml:space="preserve">); 0 variáveis altas (</w:t>
      </w:r>
      <m:oMath>
        <m:r>
          <m:t>5</m:t>
        </m:r>
      </m:oMath>
      <w:r>
        <w:rPr>
          <w:sz w:val="18"/>
          <w:szCs w:val="18"/>
        </w:rPr>
        <w:t xml:space="preserve">–</w:t>
      </w:r>
      <m:oMath>
        <m:r>
          <m:t>10</m:t>
        </m:r>
      </m:oMath>
      <w:r>
        <w:rPr>
          <w:sz w:val="18"/>
          <w:szCs w:val="18"/>
        </w:rPr>
        <w:t xml:space="preserve">);</w:t>
      </w:r>
      <w:r>
        <w:rPr>
          <w:sz w:val="18"/>
          <w:szCs w:val="18"/>
        </w:rPr>
        <w:t xml:space="preserve"> </w:t>
      </w:r>
      <w:r>
        <w:rPr>
          <w:sz w:val="18"/>
          <w:szCs w:val="18"/>
        </w:rPr>
        <w:t xml:space="preserve">6 variáveis moderadas (</w:t>
      </w:r>
      <m:oMath>
        <m:r>
          <m:t>2</m:t>
        </m:r>
      </m:oMath>
      <w:r>
        <w:rPr>
          <w:sz w:val="18"/>
          <w:szCs w:val="18"/>
        </w:rPr>
        <w:t xml:space="preserve">–</w:t>
      </w:r>
      <m:oMath>
        <m:r>
          <m:t>5</m:t>
        </m:r>
      </m:oMath>
      <w:r>
        <w:rPr>
          <w:sz w:val="18"/>
          <w:szCs w:val="18"/>
        </w:rPr>
        <w:t xml:space="preserve">);</w:t>
      </w:r>
      <w:r>
        <w:rPr>
          <w:sz w:val="18"/>
          <w:szCs w:val="18"/>
        </w:rPr>
        <w:t xml:space="preserve"> </w:t>
      </w:r>
      <w:r>
        <w:rPr>
          <w:sz w:val="18"/>
          <w:szCs w:val="18"/>
        </w:rPr>
        <w:t xml:space="preserve">17 variáveis baixas (</w:t>
      </w:r>
      <m:oMath>
        <m:r>
          <m:rPr>
            <m:sty m:val="p"/>
          </m:rPr>
          <m:t>&lt;</m:t>
        </m:r>
        <m:r>
          <m:t>2</m:t>
        </m:r>
      </m:oMath>
      <w:r>
        <w:rPr>
          <w:sz w:val="18"/>
          <w:szCs w:val="18"/>
        </w:rPr>
        <w:t xml:space="preserve">).</w:t>
      </w:r>
    </w:p>
  </w:footnote>
  <w:footnote w:id="11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Índice de Perda de Qualidade de Vida (IPQV; quanto maior, pior) de 0</w:t>
      </w:r>
      <w:r>
        <w:rPr>
          <w:sz w:val="18"/>
          <w:szCs w:val="18"/>
        </w:rPr>
        <w:t xml:space="preserve">,</w:t>
      </w:r>
      <w:r>
        <w:rPr>
          <w:sz w:val="18"/>
          <w:szCs w:val="18"/>
        </w:rPr>
        <w:t xml:space="preserve">183 para chefes pretos ou pardos, contra 0</w:t>
      </w:r>
      <w:r>
        <w:rPr>
          <w:sz w:val="18"/>
          <w:szCs w:val="18"/>
        </w:rPr>
        <w:t xml:space="preserve">,</w:t>
      </w:r>
      <w:r>
        <w:rPr>
          <w:sz w:val="18"/>
          <w:szCs w:val="18"/>
        </w:rPr>
        <w:t xml:space="preserve">122 para brancos; Gini do rendimento domiciliar</w:t>
      </w:r>
      <w:r>
        <w:rPr>
          <w:sz w:val="18"/>
          <w:szCs w:val="18"/>
        </w:rPr>
        <w:t xml:space="preserve"> </w:t>
      </w:r>
      <w:r>
        <w:rPr>
          <w:sz w:val="18"/>
          <w:szCs w:val="18"/>
        </w:rPr>
        <w:t xml:space="preserve">per capita</w:t>
      </w:r>
      <w:r>
        <w:rPr>
          <w:sz w:val="18"/>
          <w:szCs w:val="18"/>
        </w:rPr>
        <w:t xml:space="preserve"> </w:t>
      </w:r>
      <w:r>
        <w:rPr>
          <w:sz w:val="18"/>
          <w:szCs w:val="18"/>
        </w:rPr>
        <w:t xml:space="preserve">de 0</w:t>
      </w:r>
      <w:r>
        <w:rPr>
          <w:sz w:val="18"/>
          <w:szCs w:val="18"/>
        </w:rPr>
        <w:t xml:space="preserve">,</w:t>
      </w:r>
      <w:r>
        <w:rPr>
          <w:sz w:val="18"/>
          <w:szCs w:val="18"/>
        </w:rPr>
        <w:t xml:space="preserve">491 em 2025</w:t>
      </w:r>
      <w:r>
        <w:rPr>
          <w:sz w:val="18"/>
          <w:szCs w:val="18"/>
        </w:rPr>
        <w:t xml:space="preserve"> </w:t>
      </w:r>
      <w:r>
        <w:rPr>
          <w:sz w:val="18"/>
          <w:szCs w:val="18"/>
        </w:rPr>
        <w:t xml:space="preserve">(Instituto Brasileiro de Geografia e Estatística [IBGE], 2019, 2025)</w:t>
      </w:r>
      <w:r>
        <w:rPr>
          <w:sz w:val="18"/>
          <w:szCs w:val="18"/>
        </w:rPr>
        <w:t xml:space="preserve">.</w:t>
      </w:r>
    </w:p>
  </w:footnote>
  <w:footnote w:id="11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 Gini estimado neste trabalho refere-se ao rendimento do trabalho entre ocupados (em torno de 0</w:t>
      </w:r>
      <w:r>
        <w:rPr>
          <w:sz w:val="18"/>
          <w:szCs w:val="18"/>
        </w:rPr>
        <w:t xml:space="preserve">,</w:t>
      </w:r>
      <w:r>
        <w:rPr>
          <w:sz w:val="18"/>
          <w:szCs w:val="18"/>
        </w:rPr>
        <w:t xml:space="preserve">47), ao passo que o do IBGE é domiciliar</w:t>
      </w:r>
      <w:r>
        <w:rPr>
          <w:sz w:val="18"/>
          <w:szCs w:val="18"/>
        </w:rPr>
        <w:t xml:space="preserve"> </w:t>
      </w:r>
      <w:r>
        <w:rPr>
          <w:sz w:val="18"/>
          <w:szCs w:val="18"/>
        </w:rPr>
        <w:t xml:space="preserve">per capita</w:t>
      </w:r>
      <w:r>
        <w:rPr>
          <w:sz w:val="18"/>
          <w:szCs w:val="18"/>
        </w:rPr>
        <w:t xml:space="preserve"> </w:t>
      </w:r>
      <w:r>
        <w:rPr>
          <w:sz w:val="18"/>
          <w:szCs w:val="18"/>
        </w:rPr>
        <w:t xml:space="preserve">e de todas as fontes. Os níveis são próximos, mas as medidas podem divergir em tendência: a alta de 2025 é puxada por renda não-trabalho do topo, que não transita pelo rendimento dos ocupados.</w:t>
      </w:r>
    </w:p>
  </w:footnote>
  <w:footnote w:id="123">
    <w:p>
      <w:pPr>
        <w:pStyle w:val="FootnoteText"/>
        <w:spacing w:line="240" w:lineRule="auto" w:after="0"/>
      </w:pPr>
      <w:r>
        <w:rPr>
          <w:rStyle w:val="FootnoteReference"/>
          <w:vertAlign w:val="superscript"/>
          <w:sz w:val="18"/>
          <w:szCs w:val="18"/>
        </w:rPr>
        <w:footnoteRef/>
      </w:r>
      <w:r>
        <w:rPr>
          <w:sz w:val="18"/>
          <w:szCs w:val="18"/>
        </w:rPr>
        <w:t xml:space="preserve"> </w:t>
      </w:r>
      <m:oMath>
        <m:r>
          <m:t>δ</m:t>
        </m:r>
        <m:r>
          <m:rPr>
            <m:sty m:val="p"/>
          </m:rPr>
          <m:t>=</m:t>
        </m:r>
        <m:r>
          <m:t>0</m:t>
        </m:r>
        <m:r>
          <m:rPr>
            <m:sty m:val="p"/>
          </m:rPr>
          <m:t>,</m:t>
        </m:r>
        <m:r>
          <m:t>000928</m:t>
        </m:r>
      </m:oMath>
      <w:r>
        <w:rPr>
          <w:sz w:val="18"/>
          <w:szCs w:val="18"/>
        </w:rPr>
        <w:t xml:space="preserve"> </w:t>
      </w:r>
      <w:r>
        <w:rPr>
          <w:sz w:val="18"/>
          <w:szCs w:val="18"/>
        </w:rPr>
        <w:t xml:space="preserve">log-ponto por ano, IC 95%</w:t>
      </w:r>
      <w:r>
        <w:rPr>
          <w:sz w:val="18"/>
          <w:szCs w:val="18"/>
        </w:rPr>
        <w:t xml:space="preserve"> </w:t>
      </w:r>
      <m:oMath>
        <m:r>
          <m:rPr>
            <m:sty m:val="p"/>
          </m:rPr>
          <m:t>[</m:t>
        </m:r>
        <m:r>
          <m:t>0</m:t>
        </m:r>
        <m:r>
          <m:rPr>
            <m:sty m:val="p"/>
          </m:rPr>
          <m:t>,</m:t>
        </m:r>
        <m:r>
          <m:t>000133</m:t>
        </m:r>
        <m:r>
          <m:rPr>
            <m:sty m:val="p"/>
          </m:rPr>
          <m:t>;</m:t>
        </m:r>
        <m:r>
          <m:t> </m:t>
        </m:r>
        <m:r>
          <m:t>0</m:t>
        </m:r>
        <m:r>
          <m:rPr>
            <m:sty m:val="p"/>
          </m:rPr>
          <m:t>,</m:t>
        </m:r>
        <m:r>
          <m:t>001723</m:t>
        </m:r>
        <m:r>
          <m:rPr>
            <m:sty m:val="p"/>
          </m:rPr>
          <m:t>]</m:t>
        </m:r>
      </m:oMath>
      <w:r>
        <w:rPr>
          <w:sz w:val="18"/>
          <w:szCs w:val="18"/>
        </w:rPr>
        <w:t xml:space="preserve">,</w:t>
      </w:r>
      <w:r>
        <w:rPr>
          <w:sz w:val="18"/>
          <w:szCs w:val="18"/>
        </w:rPr>
        <w:t xml:space="preserve"> </w:t>
      </w:r>
      <m:oMath>
        <m:r>
          <m:t>p</m:t>
        </m:r>
        <m:r>
          <m:rPr>
            <m:sty m:val="p"/>
          </m:rPr>
          <m:t>=</m:t>
        </m:r>
        <m:r>
          <m:t>0</m:t>
        </m:r>
        <m:r>
          <m:rPr>
            <m:sty m:val="p"/>
          </m:rPr>
          <m:t>,</m:t>
        </m:r>
        <m:r>
          <m:t>027</m:t>
        </m:r>
      </m:oMath>
      <w:r>
        <w:rPr>
          <w:sz w:val="18"/>
          <w:szCs w:val="18"/>
        </w:rPr>
        <w:t xml:space="preserve">, por mínimos quadrados ponderados sobre o</w:t>
      </w:r>
      <w:r>
        <w:rPr>
          <w:sz w:val="18"/>
          <w:szCs w:val="18"/>
        </w:rPr>
        <w:t xml:space="preserve"> </w:t>
      </w:r>
      <m:oMath>
        <m:sSub>
          <m:e>
            <m:acc>
              <m:accPr>
                <m:chr m:val="̂"/>
              </m:accPr>
              <m:e>
                <m:r>
                  <m:t>β</m:t>
                </m:r>
              </m:e>
            </m:acc>
          </m:e>
          <m:sub>
            <m:r>
              <m:rPr>
                <m:nor/>
                <m:sty m:val="p"/>
              </m:rPr>
              <m:t>negro</m:t>
            </m:r>
          </m:sub>
        </m:sSub>
      </m:oMath>
      <w:r>
        <w:rPr>
          <w:sz w:val="18"/>
          <w:szCs w:val="18"/>
        </w:rPr>
        <w:t xml:space="preserve"> </w:t>
      </w:r>
      <w:r>
        <w:rPr>
          <w:sz w:val="18"/>
          <w:szCs w:val="18"/>
        </w:rP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0" Type="http://schemas.openxmlformats.org/officeDocument/2006/relationships/image" Target="media/rId70.png"/><Relationship Id="rId54" Type="http://schemas.openxmlformats.org/officeDocument/2006/relationships/image" Target="media/rId54.png"/><Relationship Id="rId60" Type="http://schemas.openxmlformats.org/officeDocument/2006/relationships/image" Target="media/rId60.png"/><Relationship Id="rId80" Type="http://schemas.openxmlformats.org/officeDocument/2006/relationships/image" Target="media/rId80.png"/><Relationship Id="rId88" Type="http://schemas.openxmlformats.org/officeDocument/2006/relationships/image" Target="media/rId88.png"/><Relationship Id="rId44" Type="http://schemas.openxmlformats.org/officeDocument/2006/relationships/image" Target="media/rId44.png"/><Relationship Id="rId119" Type="http://schemas.openxmlformats.org/officeDocument/2006/relationships/image" Target="media/rId119.png"/><Relationship Id="rId48" Type="http://schemas.openxmlformats.org/officeDocument/2006/relationships/image" Target="media/rId48.png"/><Relationship Id="rId103" Type="http://schemas.openxmlformats.org/officeDocument/2006/relationships/image" Target="media/rId103.png"/><Relationship Id="rId109" Type="http://schemas.openxmlformats.org/officeDocument/2006/relationships/image" Target="media/rId109.png"/><Relationship Id="rId173"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73"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2026-10-06T22:25:06Z</dcterms:created>
  <dcterms:modified xsi:type="dcterms:W3CDTF">2026-10-06T22:25:06Z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C:\Users\user\Documents\ProjetoRacismoPNAD\tcc\scripts\bib_manual_esalq.bib</vt:lpwstr>
  </property>
  <property fmtid="{D5CDD505-2E9C-101B-9397-08002B2CF9AE}" pid="3" name="csl">
    <vt:lpwstr>C:\Users\user\Documents\ProjetoRacismoPNAD\tcc\scripts\esalq_mba.csl</vt:lpwstr>
  </property>
</Properties>
</file>