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19.3% a menos que brancos comparáveis. Desse diferencial bruto, 52.5% é mediado pelo contexto de moradia (duplo disadvantage) e 17.6%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OR=0,691 de acesso a ocupações qualificadas (AME=−4,84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(R²=0.6162)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19.3% less than comparable White workers after controlling for education, sex, and age experience. Of this gross differential, 52.5% is mediated by residential context (local networking, Level 2), leaving a residual net gap of 9.7%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(|SHAP|=0.272),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23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9,83%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0,7653 (variância individual) e τ̂²_UF = 0,0834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0,0834</m:t>
              </m:r>
            </m:num>
            <m:den>
              <m:r>
                <m:t xml:space="preserve">0,0834 + 0,7653</m:t>
              </m:r>
            </m:den>
          </m:f>
          <m:r>
            <m:t xml:space="preserve"> = 0,0983   (9,83%)</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9,83% indica que aproximadamente 10% da variância total do log-rendimento é explicada pelo estado de residência — antes de qualquer controle individual. Mesmo após a inclusão de todas as variáveis individuais e contextuais (M3), o ICC reduz para 3,03%,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0,08342 / 0,02314 = 3,61  →  p &lt; 0,001 ***</w:t>
        <w:br/>
        <w:t>M1: z = 0,03993 / 0,01694 = 2,36  →  p &lt; 0,001 ***</w:t>
        <w:br/>
        <w:t>M2: z = 0,03002 / 0,00933 = 3,22  →  p &lt; 0,001 ***</w:t>
        <w:br/>
        <w:t>M3: z = 0,01520 / 0,00694 = 2,19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0,7653</w:t>
            </w:r>
          </w:p>
        </w:tc>
        <w:tc>
          <w:tcPr>
            <w:tcW w:type="dxa" w:w="1567"/>
            <w:shd w:fill="F2F2F2" w:val="clear"/>
          </w:tcPr>
          <w:p>
            <w:pPr>
              <w:jc w:val="center"/>
            </w:pPr>
            <w:r>
              <w:rPr>
                <w:rFonts w:ascii="Arial" w:hAnsi="Arial"/>
                <w:sz w:val="18"/>
              </w:rPr>
              <w:t>0,08342</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3,61</w:t>
            </w:r>
          </w:p>
        </w:tc>
        <w:tc>
          <w:tcPr>
            <w:tcW w:type="dxa" w:w="1567"/>
            <w:shd w:fill="F2F2F2" w:val="clear"/>
          </w:tcPr>
          <w:p>
            <w:pPr>
              <w:jc w:val="center"/>
            </w:pPr>
            <w:r>
              <w:rPr>
                <w:rFonts w:ascii="Arial" w:hAnsi="Arial"/>
                <w:sz w:val="18"/>
              </w:rPr>
              <w:t>9,83%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0,5126</w:t>
            </w:r>
          </w:p>
        </w:tc>
        <w:tc>
          <w:tcPr>
            <w:tcW w:type="dxa" w:w="1567"/>
            <w:shd w:fill="FFFFFF" w:val="clear"/>
          </w:tcPr>
          <w:p>
            <w:pPr>
              <w:jc w:val="center"/>
            </w:pPr>
            <w:r>
              <w:rPr>
                <w:rFonts w:ascii="Arial" w:hAnsi="Arial"/>
                <w:sz w:val="18"/>
              </w:rPr>
              <w:t>0,03993</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7,23%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0,4864</w:t>
            </w:r>
          </w:p>
        </w:tc>
        <w:tc>
          <w:tcPr>
            <w:tcW w:type="dxa" w:w="1567"/>
            <w:shd w:fill="F2F2F2" w:val="clear"/>
          </w:tcPr>
          <w:p>
            <w:pPr>
              <w:jc w:val="center"/>
            </w:pPr>
            <w:r>
              <w:rPr>
                <w:rFonts w:ascii="Arial" w:hAnsi="Arial"/>
                <w:sz w:val="18"/>
              </w:rPr>
              <w:t>0,03002</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3,22</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0,4864</w:t>
            </w:r>
          </w:p>
        </w:tc>
        <w:tc>
          <w:tcPr>
            <w:tcW w:type="dxa" w:w="1567"/>
            <w:shd w:fill="FFFFFF" w:val="clear"/>
          </w:tcPr>
          <w:p>
            <w:pPr>
              <w:jc w:val="center"/>
            </w:pPr>
            <w:r>
              <w:rPr>
                <w:rFonts w:ascii="Arial" w:hAnsi="Arial"/>
                <w:sz w:val="18"/>
              </w:rPr>
              <w:t>0,01520</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2,19</w:t>
            </w:r>
          </w:p>
        </w:tc>
        <w:tc>
          <w:tcPr>
            <w:tcW w:type="dxa" w:w="1567"/>
            <w:shd w:fill="FFFFFF" w:val="clear"/>
          </w:tcPr>
          <w:p>
            <w:pPr>
              <w:jc w:val="center"/>
            </w:pPr>
            <w:r>
              <w:rPr>
                <w:rFonts w:ascii="Arial" w:hAnsi="Arial"/>
                <w:sz w:val="18"/>
              </w:rPr>
              <w:t>3,03%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9,83%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ICC_UF=9,83%,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23 preditores analisados, VIF máximo = 2,09 (CBO: Serviços/Vendas); 0 variáveis críticas (VIF &gt; 10); 0 variáveis altas (5–10); 1 moderada (2–5); 22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VIF=2.09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-0.2148 (p&lt;0,001), indicando que profissionais negros recebem em média 19.3% a menos que brancos com mesma escolaridade, sexo e faixa etária — o gap racial bruto. Após a inclusão das variáveis de contexto da UPA (M2), o coeficiente reduz para -0.1021, implicando mediação contextual de 52.5% do gap bruto pelo local de moradia (duplo disadvantage). O modelo completo M3 produz β̂₁ = -0.1021: o gap líquido de 9.7%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-0.0644 (gap residual de 6.2%). A inclusão dessas variáveis explica adicionalmente 17.6%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4.7671*** (0.0386)</w:t>
            </w:r>
          </w:p>
        </w:tc>
        <w:tc>
          <w:tcPr>
            <w:tcW w:type="dxa" w:w="1304"/>
            <w:shd w:fill="FFFFFF" w:val="clear"/>
          </w:tcPr>
          <w:p>
            <w:pPr>
              <w:jc w:val="center"/>
            </w:pPr>
            <w:r>
              <w:rPr>
                <w:rFonts w:ascii="Arial" w:hAnsi="Arial"/>
                <w:sz w:val="18"/>
              </w:rPr>
              <w:t>4.7595*** (0.0335)</w:t>
            </w:r>
          </w:p>
        </w:tc>
        <w:tc>
          <w:tcPr>
            <w:tcW w:type="dxa" w:w="1304"/>
            <w:shd w:fill="FFFFFF" w:val="clear"/>
          </w:tcPr>
          <w:p>
            <w:pPr>
              <w:jc w:val="center"/>
            </w:pPr>
            <w:r>
              <w:rPr>
                <w:rFonts w:ascii="Arial" w:hAnsi="Arial"/>
                <w:sz w:val="18"/>
              </w:rPr>
              <w:t>4.7159*** (0.0253)</w:t>
            </w:r>
          </w:p>
        </w:tc>
        <w:tc>
          <w:tcPr>
            <w:tcW w:type="dxa" w:w="1304"/>
            <w:shd w:fill="FFFFFF" w:val="clear"/>
          </w:tcPr>
          <w:p>
            <w:pPr>
              <w:jc w:val="center"/>
            </w:pPr>
            <w:r>
              <w:rPr>
                <w:rFonts w:ascii="Arial" w:hAnsi="Arial"/>
                <w:sz w:val="18"/>
              </w:rPr>
              <w:t>4.6692***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-0.2148***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-0.0644***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-0.1815***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-0.2232***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0.0112***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0.0099***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-0.8184***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-0.4784*** (0.0028)</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-0.6142***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-0.2805*** (0.0013)</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-0.4976***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-0.1888*** (0.0006)</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-0.5704*** (0.0030)</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-0.2590*** (0.0026)</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-0.1862***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-0.0301***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0.0094***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0.0667* (0.0338)</w:t>
            </w:r>
          </w:p>
        </w:tc>
        <w:tc>
          <w:tcPr>
            <w:tcW w:type="dxa" w:w="1304"/>
            <w:shd w:fill="FFFFFF" w:val="clear"/>
          </w:tcPr>
          <w:p>
            <w:pPr>
              <w:jc w:val="center"/>
            </w:pPr>
            <w:r>
              <w:rPr>
                <w:rFonts w:ascii="Arial" w:hAnsi="Arial"/>
                <w:sz w:val="18"/>
              </w:rPr>
              <w:t>0.0225 (0.0293)</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-0.0541 (0.0284)</w:t>
            </w:r>
          </w:p>
        </w:tc>
        <w:tc>
          <w:tcPr>
            <w:tcW w:type="dxa" w:w="1304"/>
            <w:shd w:fill="F2F2F2" w:val="clear"/>
          </w:tcPr>
          <w:p>
            <w:pPr>
              <w:jc w:val="center"/>
            </w:pPr>
            <w:r>
              <w:rPr>
                <w:rFonts w:ascii="Arial" w:hAnsi="Arial"/>
                <w:sz w:val="18"/>
              </w:rPr>
              <w:t>-0.0659** (0.0246)</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0.0826*** (0.0211)</w:t>
            </w:r>
          </w:p>
        </w:tc>
        <w:tc>
          <w:tcPr>
            <w:tcW w:type="dxa" w:w="1304"/>
            <w:shd w:fill="FFFFFF" w:val="clear"/>
          </w:tcPr>
          <w:p>
            <w:pPr>
              <w:jc w:val="center"/>
            </w:pPr>
            <w:r>
              <w:rPr>
                <w:rFonts w:ascii="Arial" w:hAnsi="Arial"/>
                <w:sz w:val="18"/>
              </w:rPr>
              <w:t>0.0724***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0.5132</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0.3790</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0.03996</w:t>
            </w:r>
          </w:p>
        </w:tc>
        <w:tc>
          <w:tcPr>
            <w:tcW w:type="dxa" w:w="1304"/>
            <w:shd w:fill="FFFFFF" w:val="clear"/>
          </w:tcPr>
          <w:p>
            <w:pPr>
              <w:jc w:val="center"/>
            </w:pPr>
            <w:r>
              <w:rPr>
                <w:rFonts w:ascii="Arial" w:hAnsi="Arial"/>
                <w:sz w:val="18"/>
              </w:rPr>
              <w:t>0.03006</w:t>
            </w:r>
          </w:p>
        </w:tc>
        <w:tc>
          <w:tcPr>
            <w:tcW w:type="dxa" w:w="1304"/>
            <w:shd w:fill="FFFFFF" w:val="clear"/>
          </w:tcPr>
          <w:p>
            <w:pPr>
              <w:jc w:val="center"/>
            </w:pPr>
            <w:r>
              <w:rPr>
                <w:rFonts w:ascii="Arial" w:hAnsi="Arial"/>
                <w:sz w:val="18"/>
              </w:rPr>
              <w:t>0.01497</w:t>
            </w:r>
          </w:p>
        </w:tc>
        <w:tc>
          <w:tcPr>
            <w:tcW w:type="dxa" w:w="1304"/>
            <w:shd w:fill="FFFFFF" w:val="clear"/>
          </w:tcPr>
          <w:p>
            <w:pPr>
              <w:jc w:val="center"/>
            </w:pPr>
            <w:r>
              <w:rPr>
                <w:rFonts w:ascii="Arial" w:hAnsi="Arial"/>
                <w:sz w:val="18"/>
              </w:rPr>
              <w:t>0.01125</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0.0722</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0.0298</w:t>
            </w:r>
          </w:p>
        </w:tc>
        <w:tc>
          <w:tcPr>
            <w:tcW w:type="dxa" w:w="1304"/>
            <w:shd w:fill="F2F2F2" w:val="clear"/>
          </w:tcPr>
          <w:p>
            <w:pPr>
              <w:jc w:val="center"/>
            </w:pPr>
            <w:r>
              <w:rPr>
                <w:rFonts w:ascii="Arial" w:hAnsi="Arial"/>
                <w:sz w:val="18"/>
              </w:rPr>
              <w:t>0.0288</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LR=7611,6, p&lt;0,001 ***: a discriminação racial varia significativamente entre estados brasileiros. O efeito fixo médio nacional é β̂₁=-0.1218 (gap de 11.5%), com variância entre UFs de τ²₁=0.002561 (DP=0.0506 log-pontos). Em 95% dos estados, o gap situa-se no intervalo [-19.8%; -2.2%].</w:t>
      </w:r>
    </w:p>
    <w:p>
      <w:pPr>
        <w:spacing w:after="120" w:lineRule="auto" w:line="360"/>
        <w:ind w:firstLine="709"/>
        <w:jc w:val="both"/>
      </w:pPr>
      <w:r>
        <w:rPr>
          <w:rFonts w:ascii="Times New Roman" w:hAnsi="Times New Roman"/>
          <w:b w:val="0"/>
          <w:i w:val="0"/>
          <w:sz w:val="24"/>
        </w:rPr>
        <w:t>A correlação entre intercepto e slope é ρ=-0.372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[-19.8%; -2.2%]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-0.1218</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0.002561</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0.0506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-0.3719</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0,4865</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7611,6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11.5%</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[-19.8%; -2.2%]</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(20.9%) — e elevada população negra afetada, enquanto MG registra o menor diferencial (1.4%).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ρ=0,42;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0,00841</w:t>
            </w:r>
          </w:p>
        </w:tc>
        <w:tc>
          <w:tcPr>
            <w:tcW w:type="dxa" w:w="2351"/>
            <w:shd w:fill="D9E1F2" w:val="clear"/>
          </w:tcPr>
          <w:p>
            <w:r>
              <w:rPr>
                <w:rFonts w:ascii="Times New Roman" w:hAnsi="Times New Roman"/>
                <w:sz w:val="20"/>
              </w:rPr>
              <w:t>0,00373</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0,01472</w:t>
            </w:r>
          </w:p>
        </w:tc>
        <w:tc>
          <w:tcPr>
            <w:tcW w:type="dxa" w:w="2351"/>
            <w:shd w:fill="EBF0F9" w:val="clear"/>
          </w:tcPr>
          <w:p>
            <w:r>
              <w:rPr>
                <w:rFonts w:ascii="Times New Roman" w:hAnsi="Times New Roman"/>
                <w:sz w:val="20"/>
              </w:rPr>
              <w:t>0,00746</w:t>
            </w:r>
          </w:p>
        </w:tc>
        <w:tc>
          <w:tcPr>
            <w:tcW w:type="dxa" w:w="2351"/>
            <w:shd w:fill="EBF0F9" w:val="clear"/>
          </w:tcPr>
          <w:p>
            <w:r>
              <w:rPr>
                <w:rFonts w:ascii="Times New Roman" w:hAnsi="Times New Roman"/>
                <w:sz w:val="20"/>
              </w:rPr>
              <w:t>97,3%</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0,01882</w:t>
            </w:r>
          </w:p>
        </w:tc>
        <w:tc>
          <w:tcPr>
            <w:tcW w:type="dxa" w:w="2351"/>
            <w:shd w:fill="D9E1F2" w:val="clear"/>
          </w:tcPr>
          <w:p>
            <w:r>
              <w:rPr>
                <w:rFonts w:ascii="Times New Roman" w:hAnsi="Times New Roman"/>
                <w:sz w:val="20"/>
              </w:rPr>
              <w:t>0,01119</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0,02244</w:t>
            </w:r>
          </w:p>
        </w:tc>
        <w:tc>
          <w:tcPr>
            <w:tcW w:type="dxa" w:w="2351"/>
            <w:shd w:fill="EBF0F9" w:val="clear"/>
          </w:tcPr>
          <w:p>
            <w:r>
              <w:rPr>
                <w:rFonts w:ascii="Times New Roman" w:hAnsi="Times New Roman"/>
                <w:sz w:val="20"/>
              </w:rPr>
              <w:t>0,01492</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0,02549</w:t>
            </w:r>
          </w:p>
        </w:tc>
        <w:tc>
          <w:tcPr>
            <w:tcW w:type="dxa" w:w="2351"/>
            <w:shd w:fill="D9E1F2" w:val="clear"/>
          </w:tcPr>
          <w:p>
            <w:r>
              <w:rPr>
                <w:rFonts w:ascii="Times New Roman" w:hAnsi="Times New Roman"/>
                <w:sz w:val="20"/>
              </w:rPr>
              <w:t>0,01864</w:t>
            </w:r>
          </w:p>
        </w:tc>
        <w:tc>
          <w:tcPr>
            <w:tcW w:type="dxa" w:w="2351"/>
            <w:shd w:fill="D9E1F2" w:val="clear"/>
          </w:tcPr>
          <w:p>
            <w:r>
              <w:rPr>
                <w:rFonts w:ascii="Times New Roman" w:hAnsi="Times New Roman"/>
                <w:sz w:val="20"/>
              </w:rPr>
              <w:t>36,7%</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0,02818</w:t>
            </w:r>
          </w:p>
        </w:tc>
        <w:tc>
          <w:tcPr>
            <w:tcW w:type="dxa" w:w="2351"/>
            <w:shd w:fill="EBF0F9" w:val="clear"/>
          </w:tcPr>
          <w:p>
            <w:r>
              <w:rPr>
                <w:rFonts w:ascii="Times New Roman" w:hAnsi="Times New Roman"/>
                <w:sz w:val="20"/>
              </w:rPr>
              <w:t>0,02237</w:t>
            </w:r>
          </w:p>
        </w:tc>
        <w:tc>
          <w:tcPr>
            <w:tcW w:type="dxa" w:w="2351"/>
            <w:shd w:fill="EBF0F9" w:val="clear"/>
          </w:tcPr>
          <w:p>
            <w:r>
              <w:rPr>
                <w:rFonts w:ascii="Times New Roman" w:hAnsi="Times New Roman"/>
                <w:sz w:val="20"/>
              </w:rPr>
              <w:t>25,9%</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4429233"/>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4429233"/>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6" name="Picture 16"/>
            <wp:cNvGraphicFramePr>
              <a:graphicFrameLocks noChangeAspect="1"/>
            </wp:cNvGraphicFramePr>
            <a:graphic>
              <a:graphicData uri="http://schemas.openxmlformats.org/drawingml/2006/picture">
                <pic:pic>
                  <pic:nvPicPr>
                    <pic:cNvPr id="0" name="kmeans_perfis_k3.png"/>
                    <pic:cNvPicPr/>
                  </pic:nvPicPr>
                  <pic:blipFill>
                    <a:blip r:embed="rId24"/>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17" name="Picture 17"/>
            <wp:cNvGraphicFramePr>
              <a:graphicFrameLocks noChangeAspect="1"/>
            </wp:cNvGraphicFramePr>
            <a:graphic>
              <a:graphicData uri="http://schemas.openxmlformats.org/drawingml/2006/picture">
                <pic:pic>
                  <pic:nvPicPr>
                    <pic:cNvPr id="0" name="kmeans_gap_racial_k3.png"/>
                    <pic:cNvPicPr/>
                  </pic:nvPicPr>
                  <pic:blipFill>
                    <a:blip r:embed="rId25"/>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0.5722</w:t>
            </w:r>
          </w:p>
        </w:tc>
        <w:tc>
          <w:tcPr>
            <w:tcW w:type="dxa" w:w="2351"/>
            <w:shd w:fill="F2F2F2" w:val="clear"/>
          </w:tcPr>
          <w:p>
            <w:pPr>
              <w:jc w:val="center"/>
            </w:pPr>
            <w:r>
              <w:rPr>
                <w:rFonts w:ascii="Arial" w:hAnsi="Arial"/>
                <w:b w:val="0"/>
                <w:sz w:val="20"/>
              </w:rPr>
              <w:t>0.4533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0.6162</w:t>
            </w:r>
          </w:p>
        </w:tc>
        <w:tc>
          <w:tcPr>
            <w:tcW w:type="dxa" w:w="2351"/>
            <w:shd w:fill="FFFFFF" w:val="clear"/>
          </w:tcPr>
          <w:p>
            <w:pPr>
              <w:jc w:val="center"/>
            </w:pPr>
            <w:r>
              <w:rPr>
                <w:rFonts w:ascii="Arial" w:hAnsi="Arial"/>
                <w:b/>
                <w:sz w:val="20"/>
              </w:rPr>
              <w:t>0.4287</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R²=0.6162 — ganho expressivo em relação ao modelo sem variáveis ocupacionais (anterior R²≈0,44), explicável pela adição de horas trabalhadas, emprego formal e grupos CBO, que respondem coletivamente por grande parte da variância de rendimento individual. O Random Forest obtém R²=0.5722.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0.33041</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0.27155</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0.17523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0.16584</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0.11279</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0.11857</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0.13979</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0.10922</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0.08956</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0.09875</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0.06390</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0.09606</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Conta própria</w:t>
            </w:r>
          </w:p>
        </w:tc>
        <w:tc>
          <w:tcPr>
            <w:tcW w:type="dxa" w:w="1417"/>
            <w:shd w:fill="F2F2F2" w:val="clear"/>
          </w:tcPr>
          <w:p>
            <w:pPr>
              <w:jc w:val="center"/>
            </w:pPr>
            <w:r>
              <w:rPr>
                <w:rFonts w:ascii="Arial" w:hAnsi="Arial"/>
                <w:b w:val="0"/>
                <w:sz w:val="18"/>
              </w:rPr>
              <w:t>0.02056</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0.06327</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Educ.: Superior</w:t>
            </w:r>
          </w:p>
        </w:tc>
        <w:tc>
          <w:tcPr>
            <w:tcW w:type="dxa" w:w="1417"/>
            <w:shd w:fill="FFFFFF" w:val="clear"/>
          </w:tcPr>
          <w:p>
            <w:pPr>
              <w:jc w:val="center"/>
            </w:pPr>
            <w:r>
              <w:rPr>
                <w:rFonts w:ascii="Arial" w:hAnsi="Arial"/>
                <w:b w:val="0"/>
                <w:sz w:val="18"/>
              </w:rPr>
              <w:t>0.00109</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0.05039</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0.03889</w:t>
            </w:r>
          </w:p>
        </w:tc>
        <w:tc>
          <w:tcPr>
            <w:tcW w:type="dxa" w:w="1134"/>
            <w:shd w:fill="F2F2F2" w:val="clear"/>
          </w:tcPr>
          <w:p>
            <w:pPr>
              <w:jc w:val="center"/>
            </w:pPr>
            <w:r>
              <w:rPr>
                <w:rFonts w:ascii="Arial" w:hAnsi="Arial"/>
                <w:b w:val="0"/>
                <w:sz w:val="18"/>
              </w:rPr>
              <w:t>7</w:t>
            </w:r>
          </w:p>
        </w:tc>
        <w:tc>
          <w:tcPr>
            <w:tcW w:type="dxa" w:w="1417"/>
            <w:shd w:fill="F2F2F2" w:val="clear"/>
          </w:tcPr>
          <w:p>
            <w:pPr>
              <w:jc w:val="center"/>
            </w:pPr>
            <w:r>
              <w:rPr>
                <w:rFonts w:ascii="Arial" w:hAnsi="Arial"/>
                <w:b w:val="0"/>
                <w:sz w:val="18"/>
              </w:rPr>
              <w:t>0.04684</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0.03706</w:t>
            </w:r>
          </w:p>
        </w:tc>
        <w:tc>
          <w:tcPr>
            <w:tcW w:type="dxa" w:w="1134"/>
            <w:shd w:fill="FFFFFF" w:val="clear"/>
          </w:tcPr>
          <w:p>
            <w:pPr>
              <w:jc w:val="center"/>
            </w:pPr>
            <w:r>
              <w:rPr>
                <w:rFonts w:ascii="Arial" w:hAnsi="Arial"/>
                <w:b w:val="0"/>
                <w:sz w:val="18"/>
              </w:rPr>
              <w:t>8</w:t>
            </w:r>
          </w:p>
        </w:tc>
        <w:tc>
          <w:tcPr>
            <w:tcW w:type="dxa" w:w="1417"/>
            <w:shd w:fill="FFFFFF" w:val="clear"/>
          </w:tcPr>
          <w:p>
            <w:pPr>
              <w:jc w:val="center"/>
            </w:pPr>
            <w:r>
              <w:rPr>
                <w:rFonts w:ascii="Arial" w:hAnsi="Arial"/>
                <w:b w:val="0"/>
                <w:sz w:val="18"/>
              </w:rPr>
              <w:t>0.03919</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0.00024</w:t>
            </w:r>
          </w:p>
        </w:tc>
        <w:tc>
          <w:tcPr>
            <w:tcW w:type="dxa" w:w="1134"/>
            <w:shd w:fill="FFF2CC" w:val="clear"/>
          </w:tcPr>
          <w:p>
            <w:pPr>
              <w:jc w:val="center"/>
            </w:pPr>
            <w:r>
              <w:rPr>
                <w:rFonts w:ascii="Arial" w:hAnsi="Arial"/>
                <w:b/>
                <w:sz w:val="18"/>
              </w:rPr>
              <w:t>25</w:t>
            </w:r>
          </w:p>
        </w:tc>
        <w:tc>
          <w:tcPr>
            <w:tcW w:type="dxa" w:w="1417"/>
            <w:shd w:fill="FFF2CC" w:val="clear"/>
          </w:tcPr>
          <w:p>
            <w:pPr>
              <w:jc w:val="center"/>
            </w:pPr>
            <w:r>
              <w:rPr>
                <w:rFonts w:ascii="Arial" w:hAnsi="Arial"/>
                <w:b/>
                <w:sz w:val="18"/>
              </w:rPr>
              <w:t>0.02863</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0.00125</w:t>
            </w:r>
          </w:p>
        </w:tc>
        <w:tc>
          <w:tcPr>
            <w:tcW w:type="dxa" w:w="1134"/>
            <w:shd w:fill="FFFFFF" w:val="clear"/>
          </w:tcPr>
          <w:p>
            <w:pPr>
              <w:jc w:val="center"/>
            </w:pPr>
            <w:r>
              <w:rPr>
                <w:rFonts w:ascii="Arial" w:hAnsi="Arial"/>
                <w:b w:val="0"/>
                <w:sz w:val="18"/>
              </w:rPr>
              <w:t>15</w:t>
            </w:r>
          </w:p>
        </w:tc>
        <w:tc>
          <w:tcPr>
            <w:tcW w:type="dxa" w:w="1417"/>
            <w:shd w:fill="FFFFFF" w:val="clear"/>
          </w:tcPr>
          <w:p>
            <w:pPr>
              <w:jc w:val="center"/>
            </w:pPr>
            <w:r>
              <w:rPr>
                <w:rFonts w:ascii="Arial" w:hAnsi="Arial"/>
                <w:b w:val="0"/>
                <w:sz w:val="18"/>
              </w:rPr>
              <w:t>0.02754</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0.00153</w:t>
            </w:r>
          </w:p>
        </w:tc>
        <w:tc>
          <w:tcPr>
            <w:tcW w:type="dxa" w:w="1134"/>
            <w:shd w:fill="FFF2CC" w:val="clear"/>
          </w:tcPr>
          <w:p>
            <w:pPr>
              <w:jc w:val="center"/>
            </w:pPr>
            <w:r>
              <w:rPr>
                <w:rFonts w:ascii="Arial" w:hAnsi="Arial"/>
                <w:b/>
                <w:sz w:val="18"/>
              </w:rPr>
              <w:t>14</w:t>
            </w:r>
          </w:p>
        </w:tc>
        <w:tc>
          <w:tcPr>
            <w:tcW w:type="dxa" w:w="1417"/>
            <w:shd w:fill="FFF2CC" w:val="clear"/>
          </w:tcPr>
          <w:p>
            <w:pPr>
              <w:jc w:val="center"/>
            </w:pPr>
            <w:r>
              <w:rPr>
                <w:rFonts w:ascii="Arial" w:hAnsi="Arial"/>
                <w:b/>
                <w:sz w:val="18"/>
              </w:rPr>
              <w:t>0.02150</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20</w:t>
            </w:r>
          </w:p>
        </w:tc>
        <w:tc>
          <w:tcPr>
            <w:tcW w:type="dxa" w:w="1417"/>
            <w:shd w:fill="FFFFFF" w:val="clear"/>
          </w:tcPr>
          <w:p>
            <w:pPr>
              <w:jc w:val="center"/>
            </w:pPr>
            <w:r>
              <w:rPr>
                <w:rFonts w:ascii="Arial" w:hAnsi="Arial"/>
                <w:b w:val="0"/>
                <w:sz w:val="18"/>
              </w:rPr>
              <w:t>0.02055</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0.00114</w:t>
            </w:r>
          </w:p>
        </w:tc>
        <w:tc>
          <w:tcPr>
            <w:tcW w:type="dxa" w:w="1134"/>
            <w:shd w:fill="F2F2F2" w:val="clear"/>
          </w:tcPr>
          <w:p>
            <w:pPr>
              <w:jc w:val="center"/>
            </w:pPr>
            <w:r>
              <w:rPr>
                <w:rFonts w:ascii="Arial" w:hAnsi="Arial"/>
                <w:b w:val="0"/>
                <w:sz w:val="18"/>
              </w:rPr>
              <w:t>17</w:t>
            </w:r>
          </w:p>
        </w:tc>
        <w:tc>
          <w:tcPr>
            <w:tcW w:type="dxa" w:w="1417"/>
            <w:shd w:fill="F2F2F2" w:val="clear"/>
          </w:tcPr>
          <w:p>
            <w:pPr>
              <w:jc w:val="center"/>
            </w:pPr>
            <w:r>
              <w:rPr>
                <w:rFonts w:ascii="Arial" w:hAnsi="Arial"/>
                <w:b w:val="0"/>
                <w:sz w:val="18"/>
              </w:rPr>
              <w:t>0.02048</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0.00646</w:t>
            </w:r>
          </w:p>
        </w:tc>
        <w:tc>
          <w:tcPr>
            <w:tcW w:type="dxa" w:w="1134"/>
            <w:shd w:fill="FFFFFF" w:val="clear"/>
          </w:tcPr>
          <w:p>
            <w:pPr>
              <w:jc w:val="center"/>
            </w:pPr>
            <w:r>
              <w:rPr>
                <w:rFonts w:ascii="Arial" w:hAnsi="Arial"/>
                <w:b w:val="0"/>
                <w:sz w:val="18"/>
              </w:rPr>
              <w:t>11</w:t>
            </w:r>
          </w:p>
        </w:tc>
        <w:tc>
          <w:tcPr>
            <w:tcW w:type="dxa" w:w="1417"/>
            <w:shd w:fill="FFFFFF" w:val="clear"/>
          </w:tcPr>
          <w:p>
            <w:pPr>
              <w:jc w:val="center"/>
            </w:pPr>
            <w:r>
              <w:rPr>
                <w:rFonts w:ascii="Arial" w:hAnsi="Arial"/>
                <w:b w:val="0"/>
                <w:sz w:val="18"/>
              </w:rPr>
              <w:t>0.01917</w:t>
            </w:r>
          </w:p>
        </w:tc>
        <w:tc>
          <w:tcPr>
            <w:tcW w:type="dxa" w:w="1134"/>
            <w:shd w:fill="FFFFFF" w:val="clear"/>
          </w:tcPr>
          <w:p>
            <w:pPr>
              <w:jc w:val="center"/>
            </w:pPr>
            <w:r>
              <w:rPr>
                <w:rFonts w:ascii="Arial" w:hAnsi="Arial"/>
                <w:b w:val="0"/>
                <w:sz w:val="18"/>
              </w:rPr>
              <w:t>16</w:t>
            </w:r>
          </w:p>
        </w:tc>
      </w:tr>
      <w:tr>
        <w:tc>
          <w:tcPr>
            <w:tcW w:type="dxa" w:w="3685"/>
            <w:shd w:fill="F2F2F2" w:val="clear"/>
          </w:tcPr>
          <w:p>
            <w:pPr>
              <w:jc w:val="left"/>
            </w:pPr>
            <w:r>
              <w:rPr>
                <w:rFonts w:ascii="Arial" w:hAnsi="Arial"/>
                <w:b w:val="0"/>
                <w:sz w:val="18"/>
              </w:rPr>
              <w:t>CBO: Administrativo</w:t>
            </w:r>
          </w:p>
        </w:tc>
        <w:tc>
          <w:tcPr>
            <w:tcW w:type="dxa" w:w="1417"/>
            <w:shd w:fill="F2F2F2" w:val="clear"/>
          </w:tcPr>
          <w:p>
            <w:pPr>
              <w:jc w:val="center"/>
            </w:pPr>
            <w:r>
              <w:rPr>
                <w:rFonts w:ascii="Arial" w:hAnsi="Arial"/>
                <w:b w:val="0"/>
                <w:sz w:val="18"/>
              </w:rPr>
              <w:t>0.00295</w:t>
            </w:r>
          </w:p>
        </w:tc>
        <w:tc>
          <w:tcPr>
            <w:tcW w:type="dxa" w:w="1134"/>
            <w:shd w:fill="F2F2F2" w:val="clear"/>
          </w:tcPr>
          <w:p>
            <w:pPr>
              <w:jc w:val="center"/>
            </w:pPr>
            <w:r>
              <w:rPr>
                <w:rFonts w:ascii="Arial" w:hAnsi="Arial"/>
                <w:b w:val="0"/>
                <w:sz w:val="18"/>
              </w:rPr>
              <w:t>13</w:t>
            </w:r>
          </w:p>
        </w:tc>
        <w:tc>
          <w:tcPr>
            <w:tcW w:type="dxa" w:w="1417"/>
            <w:shd w:fill="F2F2F2" w:val="clear"/>
          </w:tcPr>
          <w:p>
            <w:pPr>
              <w:jc w:val="center"/>
            </w:pPr>
            <w:r>
              <w:rPr>
                <w:rFonts w:ascii="Arial" w:hAnsi="Arial"/>
                <w:b w:val="0"/>
                <w:sz w:val="18"/>
              </w:rPr>
              <w:t>0.01791</w:t>
            </w:r>
          </w:p>
        </w:tc>
        <w:tc>
          <w:tcPr>
            <w:tcW w:type="dxa" w:w="1134"/>
            <w:shd w:fill="F2F2F2" w:val="clear"/>
          </w:tcPr>
          <w:p>
            <w:pPr>
              <w:jc w:val="center"/>
            </w:pPr>
            <w:r>
              <w:rPr>
                <w:rFonts w:ascii="Arial" w:hAnsi="Arial"/>
                <w:b w:val="0"/>
                <w:sz w:val="18"/>
              </w:rPr>
              <w:t>17</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0.00546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0.01529</w:t>
            </w:r>
          </w:p>
        </w:tc>
        <w:tc>
          <w:tcPr>
            <w:tcW w:type="dxa" w:w="1134"/>
            <w:shd w:fill="FFFFFF" w:val="clear"/>
          </w:tcPr>
          <w:p>
            <w:pPr>
              <w:jc w:val="center"/>
            </w:pPr>
            <w:r>
              <w:rPr>
                <w:rFonts w:ascii="Arial" w:hAnsi="Arial"/>
                <w:b w:val="0"/>
                <w:sz w:val="18"/>
              </w:rPr>
              <w:t>18</w:t>
            </w:r>
          </w:p>
        </w:tc>
      </w:tr>
      <w:tr>
        <w:tc>
          <w:tcPr>
            <w:tcW w:type="dxa" w:w="3685"/>
            <w:shd w:fill="F2F2F2" w:val="clear"/>
          </w:tcPr>
          <w:p>
            <w:pPr>
              <w:jc w:val="left"/>
            </w:pPr>
            <w:r>
              <w:rPr>
                <w:rFonts w:ascii="Arial" w:hAnsi="Arial"/>
                <w:b w:val="0"/>
                <w:sz w:val="18"/>
              </w:rPr>
              <w:t>Educ.: Médio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0.01520</w:t>
            </w:r>
          </w:p>
        </w:tc>
        <w:tc>
          <w:tcPr>
            <w:tcW w:type="dxa" w:w="1134"/>
            <w:shd w:fill="F2F2F2" w:val="clear"/>
          </w:tcPr>
          <w:p>
            <w:pPr>
              <w:jc w:val="center"/>
            </w:pPr>
            <w:r>
              <w:rPr>
                <w:rFonts w:ascii="Arial" w:hAnsi="Arial"/>
                <w:b w:val="0"/>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0.01448</w:t>
            </w:r>
          </w:p>
        </w:tc>
        <w:tc>
          <w:tcPr>
            <w:tcW w:type="dxa" w:w="1134"/>
            <w:shd w:fill="FFFFFF" w:val="clear"/>
          </w:tcPr>
          <w:p>
            <w:pPr>
              <w:jc w:val="center"/>
            </w:pPr>
            <w:r>
              <w:rPr>
                <w:rFonts w:ascii="Arial" w:hAnsi="Arial"/>
                <w:b w:val="0"/>
                <w:sz w:val="18"/>
              </w:rPr>
              <w:t>20</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0.00071</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0.01420</w:t>
            </w:r>
          </w:p>
        </w:tc>
        <w:tc>
          <w:tcPr>
            <w:tcW w:type="dxa" w:w="1134"/>
            <w:shd w:fill="FFF2CC" w:val="clear"/>
          </w:tcPr>
          <w:p>
            <w:pPr>
              <w:jc w:val="center"/>
            </w:pPr>
            <w:r>
              <w:rPr>
                <w:rFonts w:ascii="Arial" w:hAnsi="Arial"/>
                <w:b/>
                <w:sz w:val="18"/>
              </w:rPr>
              <w:t>21</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0.00044</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0.01343</w:t>
            </w:r>
          </w:p>
        </w:tc>
        <w:tc>
          <w:tcPr>
            <w:tcW w:type="dxa" w:w="1134"/>
            <w:shd w:fill="FFF2CC" w:val="clear"/>
          </w:tcPr>
          <w:p>
            <w:pPr>
              <w:jc w:val="center"/>
            </w:pPr>
            <w:r>
              <w:rPr>
                <w:rFonts w:ascii="Arial" w:hAnsi="Arial"/>
                <w:b/>
                <w:sz w:val="18"/>
              </w:rPr>
              <w:t>22</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0.01128</w:t>
            </w:r>
          </w:p>
        </w:tc>
        <w:tc>
          <w:tcPr>
            <w:tcW w:type="dxa" w:w="1134"/>
            <w:shd w:fill="F2F2F2" w:val="clear"/>
          </w:tcPr>
          <w:p>
            <w:pPr>
              <w:jc w:val="center"/>
            </w:pPr>
            <w:r>
              <w:rPr>
                <w:rFonts w:ascii="Arial" w:hAnsi="Arial"/>
                <w:b w:val="0"/>
                <w:sz w:val="18"/>
              </w:rPr>
              <w:t>10</w:t>
            </w:r>
          </w:p>
        </w:tc>
        <w:tc>
          <w:tcPr>
            <w:tcW w:type="dxa" w:w="1417"/>
            <w:shd w:fill="F2F2F2" w:val="clear"/>
          </w:tcPr>
          <w:p>
            <w:pPr>
              <w:jc w:val="center"/>
            </w:pPr>
            <w:r>
              <w:rPr>
                <w:rFonts w:ascii="Arial" w:hAnsi="Arial"/>
                <w:b w:val="0"/>
                <w:sz w:val="18"/>
              </w:rPr>
              <w:t>0.01270</w:t>
            </w:r>
          </w:p>
        </w:tc>
        <w:tc>
          <w:tcPr>
            <w:tcW w:type="dxa" w:w="1134"/>
            <w:shd w:fill="F2F2F2" w:val="clear"/>
          </w:tcPr>
          <w:p>
            <w:pPr>
              <w:jc w:val="center"/>
            </w:pPr>
            <w:r>
              <w:rPr>
                <w:rFonts w:ascii="Arial" w:hAnsi="Arial"/>
                <w:b w:val="0"/>
                <w:sz w:val="18"/>
              </w:rPr>
              <w:t>23</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0.00027</w:t>
            </w:r>
          </w:p>
        </w:tc>
        <w:tc>
          <w:tcPr>
            <w:tcW w:type="dxa" w:w="1134"/>
            <w:shd w:fill="FFF2CC" w:val="clear"/>
          </w:tcPr>
          <w:p>
            <w:pPr>
              <w:jc w:val="center"/>
            </w:pPr>
            <w:r>
              <w:rPr>
                <w:rFonts w:ascii="Arial" w:hAnsi="Arial"/>
                <w:b/>
                <w:sz w:val="18"/>
              </w:rPr>
              <w:t>24</w:t>
            </w:r>
          </w:p>
        </w:tc>
        <w:tc>
          <w:tcPr>
            <w:tcW w:type="dxa" w:w="1417"/>
            <w:shd w:fill="FFF2CC" w:val="clear"/>
          </w:tcPr>
          <w:p>
            <w:pPr>
              <w:jc w:val="center"/>
            </w:pPr>
            <w:r>
              <w:rPr>
                <w:rFonts w:ascii="Arial" w:hAnsi="Arial"/>
                <w:b/>
                <w:sz w:val="18"/>
              </w:rPr>
              <w:t>0.01024</w:t>
            </w:r>
          </w:p>
        </w:tc>
        <w:tc>
          <w:tcPr>
            <w:tcW w:type="dxa" w:w="1134"/>
            <w:shd w:fill="FFF2CC" w:val="clear"/>
          </w:tcPr>
          <w:p>
            <w:pPr>
              <w:jc w:val="center"/>
            </w:pPr>
            <w:r>
              <w:rPr>
                <w:rFonts w:ascii="Arial" w:hAnsi="Arial"/>
                <w:b/>
                <w:sz w:val="18"/>
              </w:rPr>
              <w:t>24</w:t>
            </w:r>
          </w:p>
        </w:tc>
      </w:tr>
      <w:tr>
        <w:tc>
          <w:tcPr>
            <w:tcW w:type="dxa" w:w="3685"/>
            <w:shd w:fill="F2F2F2" w:val="clear"/>
          </w:tcPr>
          <w:p>
            <w:pPr>
              <w:jc w:val="left"/>
            </w:pPr>
            <w:r>
              <w:rPr>
                <w:rFonts w:ascii="Arial" w:hAnsi="Arial"/>
                <w:b w:val="0"/>
                <w:sz w:val="18"/>
              </w:rPr>
              <w:t>Educ. média UPA</w:t>
            </w:r>
          </w:p>
        </w:tc>
        <w:tc>
          <w:tcPr>
            <w:tcW w:type="dxa" w:w="1417"/>
            <w:shd w:fill="F2F2F2" w:val="clear"/>
          </w:tcPr>
          <w:p>
            <w:pPr>
              <w:jc w:val="center"/>
            </w:pPr>
            <w:r>
              <w:rPr>
                <w:rFonts w:ascii="Arial" w:hAnsi="Arial"/>
                <w:b w:val="0"/>
                <w:sz w:val="18"/>
              </w:rPr>
              <w:t>0.00033</w:t>
            </w:r>
          </w:p>
        </w:tc>
        <w:tc>
          <w:tcPr>
            <w:tcW w:type="dxa" w:w="1134"/>
            <w:shd w:fill="F2F2F2" w:val="clear"/>
          </w:tcPr>
          <w:p>
            <w:pPr>
              <w:jc w:val="center"/>
            </w:pPr>
            <w:r>
              <w:rPr>
                <w:rFonts w:ascii="Arial" w:hAnsi="Arial"/>
                <w:b w:val="0"/>
                <w:sz w:val="18"/>
              </w:rPr>
              <w:t>23</w:t>
            </w:r>
          </w:p>
        </w:tc>
        <w:tc>
          <w:tcPr>
            <w:tcW w:type="dxa" w:w="1417"/>
            <w:shd w:fill="F2F2F2" w:val="clear"/>
          </w:tcPr>
          <w:p>
            <w:pPr>
              <w:jc w:val="center"/>
            </w:pPr>
            <w:r>
              <w:rPr>
                <w:rFonts w:ascii="Arial" w:hAnsi="Arial"/>
                <w:b w:val="0"/>
                <w:sz w:val="18"/>
              </w:rPr>
              <w:t>0.01016</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média Estado</w:t>
            </w:r>
          </w:p>
        </w:tc>
        <w:tc>
          <w:tcPr>
            <w:tcW w:type="dxa" w:w="1417"/>
            <w:shd w:fill="FFFFFF" w:val="clear"/>
          </w:tcPr>
          <w:p>
            <w:pPr>
              <w:jc w:val="center"/>
            </w:pPr>
            <w:r>
              <w:rPr>
                <w:rFonts w:ascii="Arial" w:hAnsi="Arial"/>
                <w:b w:val="0"/>
                <w:sz w:val="18"/>
              </w:rPr>
              <w:t>0.00055</w:t>
            </w:r>
          </w:p>
        </w:tc>
        <w:tc>
          <w:tcPr>
            <w:tcW w:type="dxa" w:w="1134"/>
            <w:shd w:fill="FFFFFF" w:val="clear"/>
          </w:tcPr>
          <w:p>
            <w:pPr>
              <w:jc w:val="center"/>
            </w:pPr>
            <w:r>
              <w:rPr>
                <w:rFonts w:ascii="Arial" w:hAnsi="Arial"/>
                <w:b w:val="0"/>
                <w:sz w:val="18"/>
              </w:rPr>
              <w:t>21</w:t>
            </w:r>
          </w:p>
        </w:tc>
        <w:tc>
          <w:tcPr>
            <w:tcW w:type="dxa" w:w="1417"/>
            <w:shd w:fill="FFFFFF" w:val="clear"/>
          </w:tcPr>
          <w:p>
            <w:pPr>
              <w:jc w:val="center"/>
            </w:pPr>
            <w:r>
              <w:rPr>
                <w:rFonts w:ascii="Arial" w:hAnsi="Arial"/>
                <w:b w:val="0"/>
                <w:sz w:val="18"/>
              </w:rPr>
              <w:t>0.00706</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Fundamental</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0.00254</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Pós-graduação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27</w:t>
            </w:r>
          </w:p>
        </w:tc>
        <w:tc>
          <w:tcPr>
            <w:tcW w:type="dxa" w:w="1417"/>
            <w:shd w:fill="FFFFFF" w:val="clear"/>
          </w:tcPr>
          <w:p>
            <w:pPr>
              <w:jc w:val="center"/>
            </w:pPr>
            <w:r>
              <w:rPr>
                <w:rFonts w:ascii="Arial" w:hAnsi="Arial"/>
                <w:b w:val="0"/>
                <w:sz w:val="18"/>
              </w:rPr>
              <w:t>0.00218</w:t>
            </w:r>
          </w:p>
        </w:tc>
        <w:tc>
          <w:tcPr>
            <w:tcW w:type="dxa" w:w="1134"/>
            <w:shd w:fill="FFFFFF" w:val="clear"/>
          </w:tcPr>
          <w:p>
            <w:pPr>
              <w:jc w:val="center"/>
            </w:pPr>
            <w:r>
              <w:rPr>
                <w:rFonts w:ascii="Arial" w:hAnsi="Arial"/>
                <w:b w:val="0"/>
                <w:sz w:val="18"/>
              </w:rPr>
              <w:t>28</w:t>
            </w:r>
          </w:p>
        </w:tc>
      </w:tr>
    </w:tbl>
    <w:p>
      <w:pPr>
        <w:spacing w:after="120" w:lineRule="auto" w:line="360"/>
        <w:ind w:firstLine="709"/>
        <w:jc w:val="both"/>
      </w:pPr>
      <w:r>
        <w:rPr>
          <w:rFonts w:ascii="Times New Roman" w:hAnsi="Times New Roman"/>
          <w:b w:val="0"/>
          <w:i w:val="0"/>
          <w:sz w:val="24"/>
        </w:rPr>
        <w:t>A renda média da UPA segue como preditor mais importante (|SHAP| = 0.272),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18" name="Picture 18"/>
            <wp:cNvGraphicFramePr>
              <a:graphicFrameLocks noChangeAspect="1"/>
            </wp:cNvGraphicFramePr>
            <a:graphic>
              <a:graphicData uri="http://schemas.openxmlformats.org/drawingml/2006/picture">
                <pic:pic>
                  <pic:nvPicPr>
                    <pic:cNvPr id="0" name="shap_beeswarm_xgb.png"/>
                    <pic:cNvPicPr/>
                  </pic:nvPicPr>
                  <pic:blipFill>
                    <a:blip r:embed="rId26"/>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19" name="Picture 19"/>
            <wp:cNvGraphicFramePr>
              <a:graphicFrameLocks noChangeAspect="1"/>
            </wp:cNvGraphicFramePr>
            <a:graphic>
              <a:graphicData uri="http://schemas.openxmlformats.org/drawingml/2006/picture">
                <pic:pic>
                  <pic:nvPicPr>
                    <pic:cNvPr id="0" name="shap_dependence_negro_xgb.png"/>
                    <pic:cNvPicPr/>
                  </pic:nvPicPr>
                  <pic:blipFill>
                    <a:blip r:embed="rId27"/>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4545"/>
            <wp:docPr id="20" name="Picture 20"/>
            <wp:cNvGraphicFramePr>
              <a:graphicFrameLocks noChangeAspect="1"/>
            </wp:cNvGraphicFramePr>
            <a:graphic>
              <a:graphicData uri="http://schemas.openxmlformats.org/drawingml/2006/picture">
                <pic:pic>
                  <pic:nvPicPr>
                    <pic:cNvPr id="0" name="shap_waterfall_A_branco_alta_renda_xgb.png"/>
                    <pic:cNvPicPr/>
                  </pic:nvPicPr>
                  <pic:blipFill>
                    <a:blip r:embed="rId28"/>
                    <a:stretch>
                      <a:fillRect/>
                    </a:stretch>
                  </pic:blipFill>
                  <pic:spPr>
                    <a:xfrm>
                      <a:off x="0" y="0"/>
                      <a:ext cx="4680000" cy="4254545"/>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40641"/>
            <wp:docPr id="21" name="Picture 21"/>
            <wp:cNvGraphicFramePr>
              <a:graphicFrameLocks noChangeAspect="1"/>
            </wp:cNvGraphicFramePr>
            <a:graphic>
              <a:graphicData uri="http://schemas.openxmlformats.org/drawingml/2006/picture">
                <pic:pic>
                  <pic:nvPicPr>
                    <pic:cNvPr id="0" name="shap_waterfall_B_negro_alta_renda_xgb.png"/>
                    <pic:cNvPicPr/>
                  </pic:nvPicPr>
                  <pic:blipFill>
                    <a:blip r:embed="rId29"/>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340641"/>
            <wp:docPr id="22" name="Picture 22"/>
            <wp:cNvGraphicFramePr>
              <a:graphicFrameLocks noChangeAspect="1"/>
            </wp:cNvGraphicFramePr>
            <a:graphic>
              <a:graphicData uri="http://schemas.openxmlformats.org/drawingml/2006/picture">
                <pic:pic>
                  <pic:nvPicPr>
                    <pic:cNvPr id="0" name="shap_waterfall_C_negro_baixa_renda_xgb.png"/>
                    <pic:cNvPicPr/>
                  </pic:nvPicPr>
                  <pic:blipFill>
                    <a:blip r:embed="rId30"/>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3" name="Picture 23"/>
            <wp:cNvGraphicFramePr>
              <a:graphicFrameLocks noChangeAspect="1"/>
            </wp:cNvGraphicFramePr>
            <a:graphic>
              <a:graphicData uri="http://schemas.openxmlformats.org/drawingml/2006/picture">
                <pic:pic>
                  <pic:nvPicPr>
                    <pic:cNvPr id="0" name="sna_expandida_rede.png"/>
                    <pic:cNvPicPr/>
                  </pic:nvPicPr>
                  <pic:blipFill>
                    <a:blip r:embed="rId31"/>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4" name="Picture 24"/>
            <wp:cNvGraphicFramePr>
              <a:graphicFrameLocks noChangeAspect="1"/>
            </wp:cNvGraphicFramePr>
            <a:graphic>
              <a:graphicData uri="http://schemas.openxmlformats.org/drawingml/2006/picture">
                <pic:pic>
                  <pic:nvPicPr>
                    <pic:cNvPr id="0" name="sna_rede_demografica.png"/>
                    <pic:cNvPicPr/>
                  </pic:nvPicPr>
                  <pic:blipFill>
                    <a:blip r:embed="rId32"/>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187200"/>
            <wp:docPr id="25" name="Picture 25"/>
            <wp:cNvGraphicFramePr>
              <a:graphicFrameLocks noChangeAspect="1"/>
            </wp:cNvGraphicFramePr>
            <a:graphic>
              <a:graphicData uri="http://schemas.openxmlformats.org/drawingml/2006/picture">
                <pic:pic>
                  <pic:nvPicPr>
                    <pic:cNvPr id="0" name="sna_constraint_vs_renda.png"/>
                    <pic:cNvPicPr/>
                  </pic:nvPicPr>
                  <pic:blipFill>
                    <a:blip r:embed="rId33"/>
                    <a:stretch>
                      <a:fillRect/>
                    </a:stretch>
                  </pic:blipFill>
                  <pic:spPr>
                    <a:xfrm>
                      <a:off x="0" y="0"/>
                      <a:ext cx="4320000" cy="187200"/>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6" name="Picture 26"/>
            <wp:cNvGraphicFramePr>
              <a:graphicFrameLocks noChangeAspect="1"/>
            </wp:cNvGraphicFramePr>
            <a:graphic>
              <a:graphicData uri="http://schemas.openxmlformats.org/drawingml/2006/picture">
                <pic:pic>
                  <pic:nvPicPr>
                    <pic:cNvPr id="0" name="sna_homofilia_por_educ.png"/>
                    <pic:cNvPicPr/>
                  </pic:nvPicPr>
                  <pic:blipFill>
                    <a:blip r:embed="rId34"/>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27" name="Picture 27"/>
            <wp:cNvGraphicFramePr>
              <a:graphicFrameLocks noChangeAspect="1"/>
            </wp:cNvGraphicFramePr>
            <a:graphic>
              <a:graphicData uri="http://schemas.openxmlformats.org/drawingml/2006/picture">
                <pic:pic>
                  <pic:nvPicPr>
                    <pic:cNvPr id="0" name="sna_temporal_gap.png"/>
                    <pic:cNvPicPr/>
                  </pic:nvPicPr>
                  <pic:blipFill>
                    <a:blip r:embed="rId35"/>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28" name="Picture 28"/>
            <wp:cNvGraphicFramePr>
              <a:graphicFrameLocks noChangeAspect="1"/>
            </wp:cNvGraphicFramePr>
            <a:graphic>
              <a:graphicData uri="http://schemas.openxmlformats.org/drawingml/2006/picture">
                <pic:pic>
                  <pic:nvPicPr>
                    <pic:cNvPr id="0" name="predicoes_por_perfil.png"/>
                    <pic:cNvPicPr/>
                  </pic:nvPicPr>
                  <pic:blipFill>
                    <a:blip r:embed="rId36"/>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29" name="Picture 29"/>
            <wp:cNvGraphicFramePr>
              <a:graphicFrameLocks noChangeAspect="1"/>
            </wp:cNvGraphicFramePr>
            <a:graphic>
              <a:graphicData uri="http://schemas.openxmlformats.org/drawingml/2006/picture">
                <pic:pic>
                  <pic:nvPicPr>
                    <pic:cNvPr id="0" name="predicoes_contrafactual.png"/>
                    <pic:cNvPicPr/>
                  </pic:nvPicPr>
                  <pic:blipFill>
                    <a:blip r:embed="rId37"/>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0" name="Picture 30"/>
            <wp:cNvGraphicFramePr>
              <a:graphicFrameLocks noChangeAspect="1"/>
            </wp:cNvGraphicFramePr>
            <a:graphic>
              <a:graphicData uri="http://schemas.openxmlformats.org/drawingml/2006/picture">
                <pic:pic>
                  <pic:nvPicPr>
                    <pic:cNvPr id="0" name="oaxaca_decomposicao.png"/>
                    <pic:cNvPicPr/>
                  </pic:nvPicPr>
                  <pic:blipFill>
                    <a:blip r:embed="rId38"/>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1" name="Picture 31"/>
            <wp:cNvGraphicFramePr>
              <a:graphicFrameLocks noChangeAspect="1"/>
            </wp:cNvGraphicFramePr>
            <a:graphic>
              <a:graphicData uri="http://schemas.openxmlformats.org/drawingml/2006/picture">
                <pic:pic>
                  <pic:nvPicPr>
                    <pic:cNvPr id="0" name="oaxaca_coeficientes.png"/>
                    <pic:cNvPicPr/>
                  </pic:nvPicPr>
                  <pic:blipFill>
                    <a:blip r:embed="rId39"/>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4771"/>
            <wp:docPr id="32" name="Picture 32"/>
            <wp:cNvGraphicFramePr>
              <a:graphicFrameLocks noChangeAspect="1"/>
            </wp:cNvGraphicFramePr>
            <a:graphic>
              <a:graphicData uri="http://schemas.openxmlformats.org/drawingml/2006/picture">
                <pic:pic>
                  <pic:nvPicPr>
                    <pic:cNvPr id="0" name="oaxaca_por_variavel.png"/>
                    <pic:cNvPicPr/>
                  </pic:nvPicPr>
                  <pic:blipFill>
                    <a:blip r:embed="rId40"/>
                    <a:stretch>
                      <a:fillRect/>
                    </a:stretch>
                  </pic:blipFill>
                  <pic:spPr>
                    <a:xfrm>
                      <a:off x="0" y="0"/>
                      <a:ext cx="4680000" cy="2314771"/>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3" name="Picture 33"/>
            <wp:cNvGraphicFramePr>
              <a:graphicFrameLocks noChangeAspect="1"/>
            </wp:cNvGraphicFramePr>
            <a:graphic>
              <a:graphicData uri="http://schemas.openxmlformats.org/drawingml/2006/picture">
                <pic:pic>
                  <pic:nvPicPr>
                    <pic:cNvPr id="0" name="ob_por_sexo.png"/>
                    <pic:cNvPicPr/>
                  </pic:nvPicPr>
                  <pic:blipFill>
                    <a:blip r:embed="rId41"/>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4" name="Picture 34"/>
            <wp:cNvGraphicFramePr>
              <a:graphicFrameLocks noChangeAspect="1"/>
            </wp:cNvGraphicFramePr>
            <a:graphic>
              <a:graphicData uri="http://schemas.openxmlformats.org/drawingml/2006/picture">
                <pic:pic>
                  <pic:nvPicPr>
                    <pic:cNvPr id="0" name="ob_estabilidade_temporal.png"/>
                    <pic:cNvPicPr/>
                  </pic:nvPicPr>
                  <pic:blipFill>
                    <a:blip r:embed="rId42"/>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9,83%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5" name="Picture 35"/>
            <wp:cNvGraphicFramePr>
              <a:graphicFrameLocks noChangeAspect="1"/>
            </wp:cNvGraphicFramePr>
            <a:graphic>
              <a:graphicData uri="http://schemas.openxmlformats.org/drawingml/2006/picture">
                <pic:pic>
                  <pic:nvPicPr>
                    <pic:cNvPr id="0" name="fig4_gap_faixa_etaria.png"/>
                    <pic:cNvPicPr/>
                  </pic:nvPicPr>
                  <pic:blipFill>
                    <a:blip r:embed="rId43"/>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6" name="Picture 36"/>
            <wp:cNvGraphicFramePr>
              <a:graphicFrameLocks noChangeAspect="1"/>
            </wp:cNvGraphicFramePr>
            <a:graphic>
              <a:graphicData uri="http://schemas.openxmlformats.org/drawingml/2006/picture">
                <pic:pic>
                  <pic:nvPicPr>
                    <pic:cNvPr id="0" name="segreg_taxa_ocupacao.png"/>
                    <pic:cNvPicPr/>
                  </pic:nvPicPr>
                  <pic:blipFill>
                    <a:blip r:embed="rId44"/>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37" name="Picture 37"/>
            <wp:cNvGraphicFramePr>
              <a:graphicFrameLocks noChangeAspect="1"/>
            </wp:cNvGraphicFramePr>
            <a:graphic>
              <a:graphicData uri="http://schemas.openxmlformats.org/drawingml/2006/picture">
                <pic:pic>
                  <pic:nvPicPr>
                    <pic:cNvPr id="0" name="segreg_renda_por_area.png"/>
                    <pic:cNvPicPr/>
                  </pic:nvPicPr>
                  <pic:blipFill>
                    <a:blip r:embed="rId45"/>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38" name="Picture 38"/>
            <wp:cNvGraphicFramePr>
              <a:graphicFrameLocks noChangeAspect="1"/>
            </wp:cNvGraphicFramePr>
            <a:graphic>
              <a:graphicData uri="http://schemas.openxmlformats.org/drawingml/2006/picture">
                <pic:pic>
                  <pic:nvPicPr>
                    <pic:cNvPr id="0" name="segreg_gap_por_area.png"/>
                    <pic:cNvPicPr/>
                  </pic:nvPicPr>
                  <pic:blipFill>
                    <a:blip r:embed="rId46"/>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39" name="Picture 39"/>
            <wp:cNvGraphicFramePr>
              <a:graphicFrameLocks noChangeAspect="1"/>
            </wp:cNvGraphicFramePr>
            <a:graphic>
              <a:graphicData uri="http://schemas.openxmlformats.org/drawingml/2006/picture">
                <pic:pic>
                  <pic:nvPicPr>
                    <pic:cNvPr id="0" name="segregacao_gap_area_ci.png"/>
                    <pic:cNvPicPr/>
                  </pic:nvPicPr>
                  <pic:blipFill>
                    <a:blip r:embed="rId47"/>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0" name="Picture 40"/>
            <wp:cNvGraphicFramePr>
              <a:graphicFrameLocks noChangeAspect="1"/>
            </wp:cNvGraphicFramePr>
            <a:graphic>
              <a:graphicData uri="http://schemas.openxmlformats.org/drawingml/2006/picture">
                <pic:pic>
                  <pic:nvPicPr>
                    <pic:cNvPr id="0" name="segreg_temporal_metro_interior.png"/>
                    <pic:cNvPicPr/>
                  </pic:nvPicPr>
                  <pic:blipFill>
                    <a:blip r:embed="rId48"/>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1" name="Picture 41"/>
            <wp:cNvGraphicFramePr>
              <a:graphicFrameLocks noChangeAspect="1"/>
            </wp:cNvGraphicFramePr>
            <a:graphic>
              <a:graphicData uri="http://schemas.openxmlformats.org/drawingml/2006/picture">
                <pic:pic>
                  <pic:nvPicPr>
                    <pic:cNvPr id="0" name="comp_grupo_cbo_capital.png"/>
                    <pic:cNvPicPr/>
                  </pic:nvPicPr>
                  <pic:blipFill>
                    <a:blip r:embed="rId49"/>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2" name="Picture 42"/>
            <wp:cNvGraphicFramePr>
              <a:graphicFrameLocks noChangeAspect="1"/>
            </wp:cNvGraphicFramePr>
            <a:graphic>
              <a:graphicData uri="http://schemas.openxmlformats.org/drawingml/2006/picture">
                <pic:pic>
                  <pic:nvPicPr>
                    <pic:cNvPr id="0" name="comp_razao_grupo_cbo.png"/>
                    <pic:cNvPicPr/>
                  </pic:nvPicPr>
                  <pic:blipFill>
                    <a:blip r:embed="rId50"/>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3" name="Picture 43"/>
            <wp:cNvGraphicFramePr>
              <a:graphicFrameLocks noChangeAspect="1"/>
            </wp:cNvGraphicFramePr>
            <a:graphic>
              <a:graphicData uri="http://schemas.openxmlformats.org/drawingml/2006/picture">
                <pic:pic>
                  <pic:nvPicPr>
                    <pic:cNvPr id="0" name="comp_representacao_topo.png"/>
                    <pic:cNvPicPr/>
                  </pic:nvPicPr>
                  <pic:blipFill>
                    <a:blip r:embed="rId51"/>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4" name="Picture 44"/>
            <wp:cNvGraphicFramePr>
              <a:graphicFrameLocks noChangeAspect="1"/>
            </wp:cNvGraphicFramePr>
            <a:graphic>
              <a:graphicData uri="http://schemas.openxmlformats.org/drawingml/2006/picture">
                <pic:pic>
                  <pic:nvPicPr>
                    <pic:cNvPr id="0" name="comp_formalidade.png"/>
                    <pic:cNvPicPr/>
                  </pic:nvPicPr>
                  <pic:blipFill>
                    <a:blip r:embed="rId52"/>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5" name="Picture 45"/>
            <wp:cNvGraphicFramePr>
              <a:graphicFrameLocks noChangeAspect="1"/>
            </wp:cNvGraphicFramePr>
            <a:graphic>
              <a:graphicData uri="http://schemas.openxmlformats.org/drawingml/2006/picture">
                <pic:pic>
                  <pic:nvPicPr>
                    <pic:cNvPr id="0" name="comp_ratio_renda.png"/>
                    <pic:cNvPicPr/>
                  </pic:nvPicPr>
                  <pic:blipFill>
                    <a:blip r:embed="rId53"/>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6" name="Picture 46"/>
            <wp:cNvGraphicFramePr>
              <a:graphicFrameLocks noChangeAspect="1"/>
            </wp:cNvGraphicFramePr>
            <a:graphic>
              <a:graphicData uri="http://schemas.openxmlformats.org/drawingml/2006/picture">
                <pic:pic>
                  <pic:nvPicPr>
                    <pic:cNvPr id="0" name="logit_gap_bruto.png"/>
                    <pic:cNvPicPr/>
                  </pic:nvPicPr>
                  <pic:blipFill>
                    <a:blip r:embed="rId54"/>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0.551</w:t>
            </w:r>
          </w:p>
        </w:tc>
        <w:tc>
          <w:tcPr>
            <w:tcW w:type="dxa" w:w="1881"/>
            <w:shd w:fill="F2F2F2" w:val="clear"/>
          </w:tcPr>
          <w:p>
            <w:r>
              <w:rPr>
                <w:rFonts w:ascii="Times New Roman" w:hAnsi="Times New Roman"/>
                <w:sz w:val="18"/>
              </w:rPr>
              <w:t>[0.548; 0.553]</w:t>
            </w:r>
          </w:p>
        </w:tc>
        <w:tc>
          <w:tcPr>
            <w:tcW w:type="dxa" w:w="1881"/>
            <w:shd w:fill="F2F2F2" w:val="clear"/>
          </w:tcPr>
          <w:p>
            <w:r>
              <w:rPr>
                <w:rFonts w:ascii="Times New Roman" w:hAnsi="Times New Roman"/>
                <w:sz w:val="18"/>
              </w:rPr>
              <w:t>-8.77</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0.702</w:t>
            </w:r>
          </w:p>
        </w:tc>
        <w:tc>
          <w:tcPr>
            <w:tcW w:type="dxa" w:w="1881"/>
            <w:shd w:fill="FFFFFF" w:val="clear"/>
          </w:tcPr>
          <w:p>
            <w:r>
              <w:rPr>
                <w:rFonts w:ascii="Times New Roman" w:hAnsi="Times New Roman"/>
                <w:sz w:val="18"/>
              </w:rPr>
              <w:t>[0.699; 0.705]</w:t>
            </w:r>
          </w:p>
        </w:tc>
        <w:tc>
          <w:tcPr>
            <w:tcW w:type="dxa" w:w="1881"/>
            <w:shd w:fill="FFFFFF" w:val="clear"/>
          </w:tcPr>
          <w:p>
            <w:r>
              <w:rPr>
                <w:rFonts w:ascii="Times New Roman" w:hAnsi="Times New Roman"/>
                <w:sz w:val="18"/>
              </w:rPr>
              <w:t>-4.78</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0.536</w:t>
            </w:r>
          </w:p>
        </w:tc>
        <w:tc>
          <w:tcPr>
            <w:tcW w:type="dxa" w:w="1881"/>
            <w:shd w:fill="F2F2F2" w:val="clear"/>
          </w:tcPr>
          <w:p>
            <w:r>
              <w:rPr>
                <w:rFonts w:ascii="Times New Roman" w:hAnsi="Times New Roman"/>
                <w:sz w:val="18"/>
              </w:rPr>
              <w:t>[0.534; 0.538]</w:t>
            </w:r>
          </w:p>
        </w:tc>
        <w:tc>
          <w:tcPr>
            <w:tcW w:type="dxa" w:w="1881"/>
            <w:shd w:fill="F2F2F2" w:val="clear"/>
          </w:tcPr>
          <w:p>
            <w:r>
              <w:rPr>
                <w:rFonts w:ascii="Times New Roman" w:hAnsi="Times New Roman"/>
                <w:sz w:val="18"/>
              </w:rPr>
              <w:t>-8.95</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0.689</w:t>
            </w:r>
          </w:p>
        </w:tc>
        <w:tc>
          <w:tcPr>
            <w:tcW w:type="dxa" w:w="1881"/>
            <w:shd w:fill="FFFFFF" w:val="clear"/>
          </w:tcPr>
          <w:p>
            <w:r>
              <w:rPr>
                <w:rFonts w:ascii="Times New Roman" w:hAnsi="Times New Roman"/>
                <w:sz w:val="18"/>
              </w:rPr>
              <w:t>[0.686; 0.692]</w:t>
            </w:r>
          </w:p>
        </w:tc>
        <w:tc>
          <w:tcPr>
            <w:tcW w:type="dxa" w:w="1881"/>
            <w:shd w:fill="FFFFFF" w:val="clear"/>
          </w:tcPr>
          <w:p>
            <w:r>
              <w:rPr>
                <w:rFonts w:ascii="Times New Roman" w:hAnsi="Times New Roman"/>
                <w:sz w:val="18"/>
              </w:rPr>
              <w:t>-4.60</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0.453</w:t>
            </w:r>
          </w:p>
        </w:tc>
        <w:tc>
          <w:tcPr>
            <w:tcW w:type="dxa" w:w="1881"/>
            <w:shd w:fill="F2F2F2" w:val="clear"/>
          </w:tcPr>
          <w:p>
            <w:r>
              <w:rPr>
                <w:rFonts w:ascii="Times New Roman" w:hAnsi="Times New Roman"/>
                <w:sz w:val="18"/>
              </w:rPr>
              <w:t>[0.451; 0.456]</w:t>
            </w:r>
          </w:p>
        </w:tc>
        <w:tc>
          <w:tcPr>
            <w:tcW w:type="dxa" w:w="1881"/>
            <w:shd w:fill="F2F2F2" w:val="clear"/>
          </w:tcPr>
          <w:p>
            <w:r>
              <w:rPr>
                <w:rFonts w:ascii="Times New Roman" w:hAnsi="Times New Roman"/>
                <w:sz w:val="18"/>
              </w:rPr>
              <w:t>-6.43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0.654</w:t>
            </w:r>
          </w:p>
        </w:tc>
        <w:tc>
          <w:tcPr>
            <w:tcW w:type="dxa" w:w="1881"/>
            <w:shd w:fill="FFFFFF" w:val="clear"/>
          </w:tcPr>
          <w:p>
            <w:r>
              <w:rPr>
                <w:rFonts w:ascii="Times New Roman" w:hAnsi="Times New Roman"/>
                <w:sz w:val="18"/>
              </w:rPr>
              <w:t>[0.650; 0.658]</w:t>
            </w:r>
          </w:p>
        </w:tc>
        <w:tc>
          <w:tcPr>
            <w:tcW w:type="dxa" w:w="1881"/>
            <w:shd w:fill="FFFFFF" w:val="clear"/>
          </w:tcPr>
          <w:p>
            <w:r>
              <w:rPr>
                <w:rFonts w:ascii="Times New Roman" w:hAnsi="Times New Roman"/>
                <w:sz w:val="18"/>
              </w:rPr>
              <w:t>-2.90</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M1)=0,674 [ICC_UPA=22,2%] — modelo multinível autorizado. Gradiente (Python UF FE): OR(top20)=0,536 &gt; OR(top10)=0,453 → glass ceiling intensifica no topo.</w:t>
      </w:r>
    </w:p>
    <w:p>
      <w:pPr>
        <w:spacing w:before="120"/>
        <w:jc w:val="center"/>
      </w:pPr>
      <w:r>
        <w:drawing>
          <wp:inline xmlns:a="http://schemas.openxmlformats.org/drawingml/2006/main" xmlns:pic="http://schemas.openxmlformats.org/drawingml/2006/picture">
            <wp:extent cx="5400000" cy="2663742"/>
            <wp:docPr id="47" name="Picture 47"/>
            <wp:cNvGraphicFramePr>
              <a:graphicFrameLocks noChangeAspect="1"/>
            </wp:cNvGraphicFramePr>
            <a:graphic>
              <a:graphicData uri="http://schemas.openxmlformats.org/drawingml/2006/picture">
                <pic:pic>
                  <pic:nvPicPr>
                    <pic:cNvPr id="0" name="glmm_glassceil_forest.png"/>
                    <pic:cNvPicPr/>
                  </pic:nvPicPr>
                  <pic:blipFill>
                    <a:blip r:embed="rId55"/>
                    <a:stretch>
                      <a:fillRect/>
                    </a:stretch>
                  </pic:blipFill>
                  <pic:spPr>
                    <a:xfrm>
                      <a:off x="0" y="0"/>
                      <a:ext cx="5400000" cy="2663742"/>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(M1=0,674; M2=0,691) são menores que os anteriores (M1=0,704; M2=0,747) — reflexo de que a amostra antiga sobrerrepresentava trabalhadores não qualificados, subestimando o gap racial de acesso. O ICC caiu de 26,2% para 22,2% em M1 e de 22,2% para 10,8%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OR=0,674 (AME=−5,16 p.p.) de acesso a ocupações CBO 1–4 em M1, e OR=0,536 (AME=−8,95 p.p.) para top 20% de renda. O gradiente confirmado — OR(top20)=0,536 vs OR(top10)=0,453 — prova que a exclusão racial se intensifica no topo da hierarquia: negros não apenas têm menor chance de alcançar os 20% superiores, mas essa desvantagem é ainda mais severa no limiar dos 10%. O ICC de 22,2%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48881"/>
            <wp:docPr id="48" name="Picture 48"/>
            <wp:cNvGraphicFramePr>
              <a:graphicFrameLocks noChangeAspect="1"/>
            </wp:cNvGraphicFramePr>
            <a:graphic>
              <a:graphicData uri="http://schemas.openxmlformats.org/drawingml/2006/picture">
                <pic:pic>
                  <pic:nvPicPr>
                    <pic:cNvPr id="0" name="glmm_glassceil_probpredita.png"/>
                    <pic:cNvPicPr/>
                  </pic:nvPicPr>
                  <pic:blipFill>
                    <a:blip r:embed="rId56"/>
                    <a:stretch>
                      <a:fillRect/>
                    </a:stretch>
                  </pic:blipFill>
                  <pic:spPr>
                    <a:xfrm>
                      <a:off x="0" y="0"/>
                      <a:ext cx="5400000" cy="2148881"/>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49" name="Picture 49"/>
            <wp:cNvGraphicFramePr>
              <a:graphicFrameLocks noChangeAspect="1"/>
            </wp:cNvGraphicFramePr>
            <a:graphic>
              <a:graphicData uri="http://schemas.openxmlformats.org/drawingml/2006/picture">
                <pic:pic>
                  <pic:nvPicPr>
                    <pic:cNvPr id="0" name="logit_decomposicao_gap.png"/>
                    <pic:cNvPicPr/>
                  </pic:nvPicPr>
                  <pic:blipFill>
                    <a:blip r:embed="rId57"/>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−5,16 p.p. (controles individuais); AME M2 = −4,84 p.p. (+ contexto UPA). A redução de 0,32 p.p. de M1 para M2 reflete mediação contextual pelo entorno da UPA (efeito de vizinhança, Wilson 1987). Os 4,84 p.p. residuais constituem discriminação de acesso pura não atribuível a nenhuma característica observável. O coeficiente GLMM (β=−0,369, OR=0,691 em M2) converge com o gap residual do HLM M4 (β=−0,0644 em log-renda), estabelecendo diagnóstico tripartite: discriminação opera (i) nas portas de entrada das ocupações qualificadas (GLMM: OR=0,674),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-8.653</w:t>
            </w:r>
          </w:p>
        </w:tc>
        <w:tc>
          <w:tcPr>
            <w:tcW w:type="dxa" w:w="1176"/>
            <w:shd w:fill="F2F2F2" w:val="clear"/>
          </w:tcPr>
          <w:p>
            <w:r>
              <w:rPr>
                <w:rFonts w:ascii="Times New Roman" w:hAnsi="Times New Roman"/>
                <w:sz w:val="18"/>
              </w:rPr>
              <w:t>-12.518</w:t>
            </w:r>
          </w:p>
        </w:tc>
        <w:tc>
          <w:tcPr>
            <w:tcW w:type="dxa" w:w="1176"/>
            <w:shd w:fill="F2F2F2" w:val="clear"/>
          </w:tcPr>
          <w:p>
            <w:r>
              <w:rPr>
                <w:rFonts w:ascii="Times New Roman" w:hAnsi="Times New Roman"/>
                <w:sz w:val="18"/>
              </w:rPr>
              <w:t>-3.865</w:t>
            </w:r>
          </w:p>
        </w:tc>
        <w:tc>
          <w:tcPr>
            <w:tcW w:type="dxa" w:w="1176"/>
            <w:shd w:fill="F2F2F2" w:val="clear"/>
          </w:tcPr>
          <w:p>
            <w:r>
              <w:rPr>
                <w:rFonts w:ascii="Times New Roman" w:hAnsi="Times New Roman"/>
                <w:sz w:val="18"/>
              </w:rPr>
              <w:t>-5.248</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67.074</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6765"/>
            <wp:docPr id="50" name="Picture 50"/>
            <wp:cNvGraphicFramePr>
              <a:graphicFrameLocks noChangeAspect="1"/>
            </wp:cNvGraphicFramePr>
            <a:graphic>
              <a:graphicData uri="http://schemas.openxmlformats.org/drawingml/2006/picture">
                <pic:pic>
                  <pic:nvPicPr>
                    <pic:cNvPr id="0" name="quantreg_trajetoria.png"/>
                    <pic:cNvPicPr/>
                  </pic:nvPicPr>
                  <pic:blipFill>
                    <a:blip r:embed="rId58"/>
                    <a:stretch>
                      <a:fillRect/>
                    </a:stretch>
                  </pic:blipFill>
                  <pic:spPr>
                    <a:xfrm>
                      <a:off x="0" y="0"/>
                      <a:ext cx="5040000" cy="2686765"/>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top20=0,536 &gt; OR top10=0,453).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1" name="Picture 51"/>
            <wp:cNvGraphicFramePr>
              <a:graphicFrameLocks noChangeAspect="1"/>
            </wp:cNvGraphicFramePr>
            <a:graphic>
              <a:graphicData uri="http://schemas.openxmlformats.org/drawingml/2006/picture">
                <pic:pic>
                  <pic:nvPicPr>
                    <pic:cNvPr id="0" name="quantreg_mediacao_ocp.png"/>
                    <pic:cNvPicPr/>
                  </pic:nvPicPr>
                  <pic:blipFill>
                    <a:blip r:embed="rId59"/>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(OR=0,691, AME=−4,84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2" name="Picture 52"/>
            <wp:cNvGraphicFramePr>
              <a:graphicFrameLocks noChangeAspect="1"/>
            </wp:cNvGraphicFramePr>
            <a:graphic>
              <a:graphicData uri="http://schemas.openxmlformats.org/drawingml/2006/picture">
                <pic:pic>
                  <pic:nvPicPr>
                    <pic:cNvPr id="0" name="qr_kb_test.png"/>
                    <pic:cNvPicPr/>
                  </pic:nvPicPr>
                  <pic:blipFill>
                    <a:blip r:embed="rId60"/>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3" name="Picture 53"/>
            <wp:cNvGraphicFramePr>
              <a:graphicFrameLocks noChangeAspect="1"/>
            </wp:cNvGraphicFramePr>
            <a:graphic>
              <a:graphicData uri="http://schemas.openxmlformats.org/drawingml/2006/picture">
                <pic:pic>
                  <pic:nvPicPr>
                    <pic:cNvPr id="0" name="qr_por_sexo.png"/>
                    <pic:cNvPicPr/>
                  </pic:nvPicPr>
                  <pic:blipFill>
                    <a:blip r:embed="rId61"/>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4" name="Picture 54"/>
            <wp:cNvGraphicFramePr>
              <a:graphicFrameLocks noChangeAspect="1"/>
            </wp:cNvGraphicFramePr>
            <a:graphic>
              <a:graphicData uri="http://schemas.openxmlformats.org/drawingml/2006/picture">
                <pic:pic>
                  <pic:nvPicPr>
                    <pic:cNvPr id="0" name="qr_glassceil_completo.png"/>
                    <pic:cNvPicPr/>
                  </pic:nvPicPr>
                  <pic:blipFill>
                    <a:blip r:embed="rId62"/>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OR=0,536 (top20%) para OR=0,453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(ICC=9,83%),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(OR=0,674): E = 2,331 (IC: 2,316); M2 (OR=0,691): E = 2,254 (IC: 2,240). Um confounder precisaria ter associação ≥ 2,25×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5" name="Picture 55"/>
            <wp:cNvGraphicFramePr>
              <a:graphicFrameLocks noChangeAspect="1"/>
            </wp:cNvGraphicFramePr>
            <a:graphic>
              <a:graphicData uri="http://schemas.openxmlformats.org/drawingml/2006/picture">
                <pic:pic>
                  <pic:nvPicPr>
                    <pic:cNvPr id="0" name="sensibilidade_konfound_evalues.png"/>
                    <pic:cNvPicPr/>
                  </pic:nvPicPr>
                  <pic:blipFill>
                    <a:blip r:embed="rId63"/>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6" name="Picture 56"/>
            <wp:cNvGraphicFramePr>
              <a:graphicFrameLocks noChangeAspect="1"/>
            </wp:cNvGraphicFramePr>
            <a:graphic>
              <a:graphicData uri="http://schemas.openxmlformats.org/drawingml/2006/picture">
                <pic:pic>
                  <pic:nvPicPr>
                    <pic:cNvPr id="0" name="interseccional_ob4grupos.png"/>
                    <pic:cNvPicPr/>
                  </pic:nvPicPr>
                  <pic:blipFill>
                    <a:blip r:embed="rId64"/>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57" name="Picture 57"/>
            <wp:cNvGraphicFramePr>
              <a:graphicFrameLocks noChangeAspect="1"/>
            </wp:cNvGraphicFramePr>
            <a:graphic>
              <a:graphicData uri="http://schemas.openxmlformats.org/drawingml/2006/picture">
                <pic:pic>
                  <pic:nvPicPr>
                    <pic:cNvPr id="0" name="rif_ob_retornos_quantis.png"/>
                    <pic:cNvPicPr/>
                  </pic:nvPicPr>
                  <pic:blipFill>
                    <a:blip r:embed="rId65"/>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−0,289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19.3% (M1); (ii) mediação contextual pela UPA de 52.5% (M2→M3); (iii) mediação ocupacional de 17.6%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OR=0,674 de acesso a ocupações qualificadas (CBO 1–4) e OR=0,536 ao top 20% de renda em M1 — penalidades persistentes após controle por educação, experiência, sexo e contexto de UPA. O gradiente confirmado — OR(top20)=0,536 vs OR(top10)=0,453 — evidencia que o teto de vidro é progressivamente mais seletivo: a exclusão racial se intensifica exatamente nos limiares mais altos de acesso. O ICC de 22,2% no GLMM de UPA (vs 9,8% no HLM salarial) revela que o acesso a ocupações qualificadas é mais geograficamente determinado do que os salários. A convergência entre o gap residual do M4 (6,2%), o AME GLMM (−4,84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OR=0,674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58" name="Picture 58"/>
            <wp:cNvGraphicFramePr>
              <a:graphicFrameLocks noChangeAspect="1"/>
            </wp:cNvGraphicFramePr>
            <a:graphic>
              <a:graphicData uri="http://schemas.openxmlformats.org/drawingml/2006/picture">
                <pic:pic>
                  <pic:nvPicPr>
                    <pic:cNvPr id="0" name="po_politicas_topsis.png"/>
                    <pic:cNvPicPr/>
                  </pic:nvPicPr>
                  <pic:blipFill>
                    <a:blip r:embed="rId66"/>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(OR=0,674).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OR=0,674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59" name="Picture 59"/>
            <wp:cNvGraphicFramePr>
              <a:graphicFrameLocks noChangeAspect="1"/>
            </wp:cNvGraphicFramePr>
            <a:graphic>
              <a:graphicData uri="http://schemas.openxmlformats.org/drawingml/2006/picture">
                <pic:pic>
                  <pic:nvPicPr>
                    <pic:cNvPr id="0" name="po_politicas_pl2_pareto.png"/>
                    <pic:cNvPicPr/>
                  </pic:nvPicPr>
                  <pic:blipFill>
                    <a:blip r:embed="rId67"/>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(OR=0,691, AME=−4,84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γ̂₀₁=−0,289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(−24,6% vs −29,2%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19.3% (M1) se decompõe em três camadas: mediação contextual de 52.5% pelo bairro de moradia (o coeficiente γ₀₁ = −0,289 para proporção de negros na UPA equivale, em magnitude, à própria penalidade individual de ser negro); mediação ocupacional de 17.6% pelo acesso desigual a grupos CBO de alta remuneração; e gap residual de 6.2% (M4) — discriminação pura pós-ocupação. O GLMM logístico (N=7.694.198) confirma a barreira de acesso: OR=0,674 para CBO 1–4, gradiente progressivo OR(top20)=0,536 → OR(top10)=0,453.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spacing w:after="120" w:lineRule="auto" w:line="360"/>
        <w:ind w:firstLine="709"/>
        <w:jc w:val="both"/>
      </w:pPr>
      <w:r>
        <w:rPr>
          <w:rFonts w:ascii="Times New Roman" w:hAnsi="Times New Roman"/>
          <w:b/>
          <w:sz w:val="24"/>
        </w:rPr>
        <w:t xml:space="preserve">Limitações e direções futuras. </w:t>
      </w:r>
      <w:r>
        <w:rPr>
          <w:rFonts w:ascii="Times New Roman" w:hAnsi="Times New Roman"/>
          <w:sz w:val="24"/>
        </w:rPr>
        <w:t>O caráter transversal do painel público da PNAD Contínua impede a análise de trajetórias individuais de mobilidade salarial ao longo do tempo. A extensão da análise para dados corporativos (RAIS) permitiria investigar o glass ceiling em cargos de liderança com identificação de firma. As premissas de efetividade dos modelos de PO foram calibradas com evidências internacionais e requerem validação empírica no contexto brasileiro. A análise SNA, embora expandida para 20 nós, ainda não captura redes de indicação intraempresa — extensão natural para pesquisas futuras com dados administrativos.</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0" name="Picture 60"/>
            <wp:cNvGraphicFramePr>
              <a:graphicFrameLocks noChangeAspect="1"/>
            </wp:cNvGraphicFramePr>
            <a:graphic>
              <a:graphicData uri="http://schemas.openxmlformats.org/drawingml/2006/picture">
                <pic:pic>
                  <pic:nvPicPr>
                    <pic:cNvPr id="0" name="estado_h1_gini.png"/>
                    <pic:cNvPicPr/>
                  </pic:nvPicPr>
                  <pic:blipFill>
                    <a:blip r:embed="rId68"/>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−29,2% no privado e −24,6% no público — uma diferença de 4,6 pontos percentuais favorável ao setor público. A interação negro:setor_publico é positiva e estatisticamente significativa, indicando que o Estado atenua (mas não elimina) o gap racial. O gap de 24,6%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1" name="Picture 61"/>
            <wp:cNvGraphicFramePr>
              <a:graphicFrameLocks noChangeAspect="1"/>
            </wp:cNvGraphicFramePr>
            <a:graphic>
              <a:graphicData uri="http://schemas.openxmlformats.org/drawingml/2006/picture">
                <pic:pic>
                  <pic:nvPicPr>
                    <pic:cNvPr id="0" name="estado_h2h3_gaps.png"/>
                    <pic:cNvPicPr/>
                  </pic:nvPicPr>
                  <pic:blipFill>
                    <a:blip r:embed="rId69"/>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4 pontos percentuais (ver H2). Para gênero, o resultado é contrário ao esperado: o gap de gênero controlado é de −16,9% no setor privado e −18,8% no setor público — 1,9 ponto percentual maior no setor público. Em termos brutos, o gap de gênero também é maior no público (−24,1%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2" name="Picture 62"/>
            <wp:cNvGraphicFramePr>
              <a:graphicFrameLocks noChangeAspect="1"/>
            </wp:cNvGraphicFramePr>
            <a:graphic>
              <a:graphicData uri="http://schemas.openxmlformats.org/drawingml/2006/picture">
                <pic:pic>
                  <pic:nvPicPr>
                    <pic:cNvPr id="0" name="estado_h4_tendencia.png"/>
                    <pic:cNvPicPr/>
                  </pic:nvPicPr>
                  <pic:blipFill>
                    <a:blip r:embed="rId70"/>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3" name="Picture 63"/>
            <wp:cNvGraphicFramePr>
              <a:graphicFrameLocks noChangeAspect="1"/>
            </wp:cNvGraphicFramePr>
            <a:graphic>
              <a:graphicData uri="http://schemas.openxmlformats.org/drawingml/2006/picture">
                <pic:pic>
                  <pic:nvPicPr>
                    <pic:cNvPr id="0" name="estado_h4_inclusao.png"/>
                    <pic:cNvPicPr/>
                  </pic:nvPicPr>
                  <pic:blipFill>
                    <a:blip r:embed="rId71"/>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4" name="Picture 64"/>
            <wp:cNvGraphicFramePr>
              <a:graphicFrameLocks noChangeAspect="1"/>
            </wp:cNvGraphicFramePr>
            <a:graphic>
              <a:graphicData uri="http://schemas.openxmlformats.org/drawingml/2006/picture">
                <pic:pic>
                  <pic:nvPicPr>
                    <pic:cNvPr id="0" name="estado_h5_armadilha.png"/>
                    <pic:cNvPicPr/>
                  </pic:nvPicPr>
                  <pic:blipFill>
                    <a:blip r:embed="rId72"/>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5" name="Picture 65"/>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6" name="Picture 66"/>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