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i w:val="0"/>
          <w:color w:val="1F3864"/>
          <w:sz w:val="44"/>
        </w:rPr>
        <w:t>GUIA DE ESTUDO PARA A DEFESA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16161"/>
          <w:sz w:val="26"/>
        </w:rPr>
        <w:t>Racismo estrutural no mercado de trabalho brasileiro</w:t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616161"/>
          <w:sz w:val="22"/>
        </w:rPr>
        <w:t>Uma abordagem multinível e de decomposição salarial — PNAD Contínua 2016–2025</w:t>
      </w:r>
    </w:p>
    <w:p>
      <w:pPr>
        <w:spacing w:before="0" w:after="600"/>
        <w:jc w:val="center"/>
      </w:pPr>
      <w:r>
        <w:rPr>
          <w:rFonts w:ascii="Calibri" w:hAnsi="Calibri"/>
          <w:b w:val="0"/>
          <w:i w:val="0"/>
          <w:sz w:val="22"/>
        </w:rPr>
        <w:t>Ricardo Calheiros · MBA em Data Science e Analytics · ESALQ/USP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Como usar este guia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1 — o que dizer nos três primeiros minutos, com os números de cor.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2 — leituras prioritárias: o que a banca costuma cobrar de cada obra.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3 — os quatro métodos do núcleo: o que cada um responde e como ler a saída.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4 — a robustez, que é o que separa um resultado de um achado.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5 — equações para memorizar.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Parte 6 — as perguntas difíceis, com a resposta já formulada.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Todos os números deste guia são lidos dos csv de outputs/tables/ na geração: se uma análise for reexecutada, basta rodar o gerador de novo.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1 — A DEFESA EM TRÊS MINUTOS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22"/>
        </w:rPr>
        <w:t>Decore esta sequência. Ela responde, nesta ordem, às quatro perguntas que toda banca faz: o que você mediu, por que isso não é óbvio, como sabe que é verdade e o que muda se for.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>▌ A frase-síntese (se só houver tempo para uma)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“Com a mesma escolaridade, idade, sexo e bairro, um trabalhador negro ganha 10,2% a menos que um branco — e a barreira mais dura não é o salário, é a porta: 30% menos chance de chegar a um cargo qualificado. O mercado de trabalho brasileiro não é racialmente neutro, e educação sozinha não corrige isso.”</w:t>
      </w:r>
    </w:p>
    <w:p>
      <w:pPr>
        <w:pStyle w:val="Heading2"/>
      </w:pPr>
      <w:r>
        <w:rPr>
          <w:rFonts w:ascii="Calibri" w:hAnsi="Calibri"/>
          <w:color w:val="1F3864"/>
        </w:rPr>
        <w:t>1.1  O contexto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 xml:space="preserve">Entre 2016 e 2025, um trabalhador negro ganhou em média </w:t>
      </w:r>
      <w:r>
        <w:rPr>
          <w:rFonts w:ascii="Calibri" w:hAnsi="Calibri"/>
          <w:b/>
          <w:i w:val="0"/>
          <w:sz w:val="22"/>
        </w:rPr>
        <w:t>19,1% a menos</w:t>
      </w:r>
      <w:r>
        <w:rPr>
          <w:rFonts w:ascii="Calibri" w:hAnsi="Calibri"/>
          <w:b w:val="0"/>
          <w:i w:val="0"/>
          <w:sz w:val="22"/>
        </w:rPr>
        <w:t xml:space="preserve"> que um branco com a mesma escolaridade, idade e sexo. Esse é o gap agregado, estimado por OLS com efeitos fixos de estado — o ponto de partida.</w:t>
      </w:r>
    </w:p>
    <w:p>
      <w:pPr>
        <w:pStyle w:val="Heading2"/>
      </w:pPr>
      <w:r>
        <w:rPr>
          <w:rFonts w:ascii="Calibri" w:hAnsi="Calibri"/>
          <w:color w:val="1F3864"/>
        </w:rPr>
        <w:t>1.2  O desequilíbrio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 xml:space="preserve">O gap não é uma coisa só. Comparando apenas pessoas </w:t>
      </w:r>
      <w:r>
        <w:rPr>
          <w:rFonts w:ascii="Calibri" w:hAnsi="Calibri"/>
          <w:b/>
          <w:i w:val="0"/>
          <w:sz w:val="22"/>
        </w:rPr>
        <w:t>do mesmo bairro</w:t>
      </w:r>
      <w:r>
        <w:rPr>
          <w:rFonts w:ascii="Calibri" w:hAnsi="Calibri"/>
          <w:b w:val="0"/>
          <w:i w:val="0"/>
          <w:sz w:val="22"/>
        </w:rPr>
        <w:t xml:space="preserve">, ele cai quase à metade: 47,0% do gap agregado é mediado pela segregação residencial, e sobra um </w:t>
      </w:r>
      <w:r>
        <w:rPr>
          <w:rFonts w:ascii="Calibri" w:hAnsi="Calibri"/>
          <w:b/>
          <w:i w:val="0"/>
          <w:sz w:val="22"/>
        </w:rPr>
        <w:t>gap líquido de 10,2%</w:t>
      </w:r>
      <w:r>
        <w:rPr>
          <w:rFonts w:ascii="Calibri" w:hAnsi="Calibri"/>
          <w:b w:val="0"/>
          <w:i w:val="0"/>
          <w:sz w:val="22"/>
        </w:rPr>
        <w:t>. Dentro da mesma ocupação ainda persistem 7,0% — e a ocupação é ela própria resultado da barreira de acesso.</w:t>
      </w:r>
    </w:p>
    <w:p>
      <w:pPr>
        <w:pStyle w:val="Heading2"/>
      </w:pPr>
      <w:r>
        <w:rPr>
          <w:rFonts w:ascii="Calibri" w:hAnsi="Calibri"/>
          <w:color w:val="1F3864"/>
        </w:rPr>
        <w:t>1.3  A evidência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Quatro métodos independentes sobre a população completa da PNAD Contínua (cerca de 7,7 milhões de observações em 40.969 bairros; o N exato varia com os filtros de cada método):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Método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Pergunta que responde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Resultado principal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HLM de dois níveis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Quanto do gap é do bairro?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47,0% mediado pelo bairro; gap líquido 10,2%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Oaxaca–Blinder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É composição ou preço?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28,4% do gap são retornos diferenciais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QR + RIF-OB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Onde na distribuição pesa?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 condicional cresce (8,0%→11,6%); retornos maiores na base (35,1% no q10)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GLMM logístico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porta é mais estreita?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 = 0,699 para cargo qualificado; 0,654 no topo 10%</w:t>
            </w:r>
          </w:p>
        </w:tc>
      </w:tr>
    </w:tbl>
    <w:p>
      <w:pPr>
        <w:spacing w:after="40"/>
      </w:pP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Um XGBoost com SHAP confirma, sem impor forma funcional, que a raça mantém contribuição própria: 11ª posição entre 29 preditores.</w:t>
      </w:r>
    </w:p>
    <w:p>
      <w:pPr>
        <w:pStyle w:val="Heading2"/>
      </w:pPr>
      <w:r>
        <w:rPr>
          <w:rFonts w:ascii="Calibri" w:hAnsi="Calibri"/>
          <w:color w:val="1F3864"/>
        </w:rPr>
        <w:t>1.4  O que isso muda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Se o gargalo fosse escolaridade, bastaria ampliar o acesso ao ensino. Os resultados dizem outra coisa: as mesmas credenciais rendem menos, e a barreira maior está no acesso à ocupação. Política de educação isolada tem retorno marginal decrescente; é preciso agir simultaneamente sobre acesso (Lei 12.990/2014), sobre a discriminação salarial (Lei 9.029/1995 e Estatuto da Igualdade Racial) e sobre a segregação residencial.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2 — ROTEIRO DE LEITURAS</w:t>
      </w:r>
    </w:p>
    <w:p>
      <w:pPr>
        <w:pStyle w:val="Heading2"/>
      </w:pPr>
      <w:r>
        <w:rPr>
          <w:rFonts w:ascii="Calibri" w:hAnsi="Calibri"/>
          <w:color w:val="1F3864"/>
        </w:rPr>
        <w:t>2.1  Prioridade máxima — perguntas quase certas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Angrist &amp; Pischke — Mostly Harmless Econometrics (caps. 2, 3 e 8)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É de onde vêm as três ressalvas que a banca vai cobrar: bad controls (cap. 3), condicionar no desfecho e o problema de Moulton/erros agrupados (cap. 8). Saiba dizer em uma frase por que M4 é limite inferior e M3 é limite superior.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Oaxaca (1973) e Blinder (1973)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A decomposição em dotações e retornos. Saiba que a parcela de retornos não é 'a discriminação medida', e sim o resíduo não explicado pelas variáveis incluídas.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Raudenbush &amp; Bryk — Hierarchical Linear Models (caps. 2 e 4)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Modelo nulo, ICC, estratégia step-up e a diferença entre REML e ML. No M0 deste trabalho, ICC = 0,369 — 37% da variância do log-rendimento está entre bairros.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Firpo, Fortin &amp; Lemieux (2018) — RIF regressions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Por que os quantis incondicionais respondem a uma pergunta diferente dos condicionais. É a base do parágrafo que concilia teto de vidro e piso pegajoso.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Hasenbalg (1979) e Soares (2009)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A literatura nacional com que o resultado dialoga. Saiba dizer o que este trabalho acrescenta: não a existência do gap, e sim a separação dos mecanismos.</w:t>
      </w:r>
    </w:p>
    <w:p>
      <w:pPr>
        <w:pStyle w:val="Heading2"/>
      </w:pPr>
      <w:r>
        <w:rPr>
          <w:rFonts w:ascii="Calibri" w:hAnsi="Calibri"/>
          <w:color w:val="1F3864"/>
        </w:rPr>
        <w:t>2.2  Prioridade média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Manski (1993) — problema do reflexo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Por que a renda média do bairro, usada como preditor, é mecanicamente informativa — e o que foi feito (média leave-one-out no ML, variável removida nos modelos de acesso).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Wilson (1987) e Sampson, Raudenbush &amp; Earls (1997)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O arcabouço teórico dos efeitos de vizinhança: por que faz sentido pôr a UPA no nível 2.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VanderWeele &amp; Ding (2017) — E-values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Quanto de confundimento não observado seria preciso para anular o resultado. Aqui, E-value = 2,2 para a barreira de acesso.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Crenshaw (1989) — interseccionalidade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O conceito por trás da decomposição de quatro grupos e da penalidade extra.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sz w:val="22"/>
        </w:rPr>
        <w:t>Fávero &amp; Belfiore — Manual de Análise de Dados (caps. 12, 14 e 15)</w:t>
      </w:r>
    </w:p>
    <w:p>
      <w:pPr>
        <w:spacing w:before="0" w:after="80"/>
        <w:ind w:left="567"/>
        <w:jc w:val="both"/>
      </w:pPr>
      <w:r>
        <w:rPr>
          <w:rFonts w:ascii="Calibri" w:hAnsi="Calibri"/>
          <w:b w:val="0"/>
          <w:i w:val="0"/>
          <w:sz w:val="21"/>
        </w:rPr>
        <w:t>VIF e multicolinearidade, modelos logísticos (OR, efeitos marginais, sensibilidade/especificidade, curva ROC) e modelos multinível.</w:t>
      </w:r>
    </w:p>
    <w:p>
      <w:pPr>
        <w:pStyle w:val="Heading2"/>
      </w:pPr>
      <w:r>
        <w:rPr>
          <w:rFonts w:ascii="Calibri" w:hAnsi="Calibri"/>
          <w:color w:val="1F3864"/>
        </w:rPr>
        <w:t>2.3  Se sobrar tempo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Pager (2007) — experimentos de auditoria: a evidência experimental que o resultado observacional é consistente com.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Koenker &amp; Bassett (1978) — regressão quantílica, o artigo fundador.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Lundberg &amp; Lee (2017) — SHAP: valores de Shapley aplicados a modelos preditivos.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Knaflic — Storytelling com Dados: a lógica da apresentação (título de ação, uma ideia por slide, cinza + uma cor de destaque).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3 — OS QUATRO MÉTODOS DO NÚCLEO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22"/>
        </w:rPr>
        <w:t>Para cada método: a pergunta que ele responde, como ler a saída e o número que você precisa saber de cor.</w:t>
      </w:r>
    </w:p>
    <w:p>
      <w:pPr>
        <w:pStyle w:val="Heading2"/>
      </w:pPr>
      <w:r>
        <w:rPr>
          <w:rFonts w:ascii="Calibri" w:hAnsi="Calibri"/>
          <w:color w:val="1F3864"/>
        </w:rPr>
        <w:t>3.1  Modelo linear hierárquico (indivíduos em bairros, efeitos fixos de UF)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Quanto do gap racial desaparece quando se compara negros e brancos que moram no mesmo bairro?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2"/>
        </w:rPr>
        <w:t>A estratégia é step-up: parte-se do modelo nulo e acrescenta-se um bloco de controles por vez, observando o que acontece com o coeficiente de raça.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 que acrescenta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β negro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 (%)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Mediação acum.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Agregado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individual + UF, sem bairro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−0,2123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−19,1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 intercepto aleatório de UPA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−0,1124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−10,6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47,0%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 contexto do bairro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−0,1076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−10,2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49,3%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 efeitos fixos de UF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−0,1077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−10,2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49,3%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 ocupação e formalidade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−0,0724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−7,0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65,9%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Modelo nulo: τ² = 0,3370, σ² = 0,5759 → ICC = 0,369. Traduza: 37% da variância do log-rendimento está entre bairros, não entre pessoas — é o que justifica o multinível.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Efeito contextual (M2): γ₀₁ = −0,2189 (EP 0,0017) por desvio-padrão da proporção de negros na UPA. Atenção: o regressor é padronizado — não diga “por ponto percentual”.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Inclinação aleatória (M3_RS): desvio-padrão da inclinação de raça entre bairros = 0,171; LR contra o M3 = 38.943. A penalidade varia entre bairros, e a covariância negativa (−0,0245) diz que ela é maior justamente nos bairros de renda mais alta.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REML vs ML: τ² = 0,33698 por ML e 0,33699 por REML. Com N desse tamanho a escolha é indiferente; usa-se ML porque é o que permite comparar efeitos fixos entre degraus.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11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lm_g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Metade do gap racial desaparece ao comparar pessoas do mesmo bairro — e o que sobra não é explicado por escolaridade, estado nem ocupação.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15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m_efeitos_uf_blup_u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variação entre bairros supera a variação entre estados: efeitos fixos de UF (à esquerda) e BLUPs de UPA (à direita).</w:t>
      </w:r>
    </w:p>
    <w:p>
      <w:pPr>
        <w:pStyle w:val="Heading2"/>
      </w:pPr>
      <w:r>
        <w:rPr>
          <w:rFonts w:ascii="Calibri" w:hAnsi="Calibri"/>
          <w:color w:val="1F3864"/>
        </w:rPr>
        <w:t>3.2  Decomposição de Oaxaca–Blinder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Do gap observado, quanto vem de os dois grupos terem características diferentes (dotações) e quanto de as mesmas características serem pagas de forma diferente (retornos)?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06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Especificação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 total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Dotações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Retornos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Como nomear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(A) Capital humano + contexto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53,0%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71,6%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28,4%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comparável à literatura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(B) + ocupação, formalidade e horas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53,0%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83,8%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16,2%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limite inferior descritivo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Erros-padrão por bootstrap em blocos de UPA (500 réplicas), N = 7.694.198 em 40.969 UPAs.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frase que evita a pergunta capciosa: “a parcela de retornos não é a discriminação medida; é o que as variáveis incluídas não explicam. Ela é um limite superior do efeito de tratamento diferencial e um limite inferior do racismo estrutural, que também opera pelas dotações.”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42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_casc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Tratar a ocupação como “característica” derruba pela metade a discriminação medida — por isso as duas especificações são reportadas lado a lado.</w:t>
      </w:r>
    </w:p>
    <w:p>
      <w:pPr>
        <w:pStyle w:val="Heading2"/>
      </w:pPr>
      <w:r>
        <w:rPr>
          <w:rFonts w:ascii="Calibri" w:hAnsi="Calibri"/>
          <w:color w:val="1F3864"/>
        </w:rPr>
        <w:t>3.3  Regressão quantílica e RIF-OB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A penalidade racial é a mesma em toda a distribuição de renda, ou pesa mais no topo (teto de vidro) ou na base (piso pegajoso)?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Quantil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 condicional (QR)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Retornos (RIF, incondicional)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−8,0%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35,1%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q25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−7,1%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31,2%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q50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−7,8%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27,3%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q75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−9,9%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24,5%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q90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−11,6%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12,9%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Teste de heterogeneidade: diferença q90 − q10 = −0,0403, Z = −16,95, p &lt; 0,001. O erro-padrão vem de bootstrap m-out-of-n em blocos de UPA (1.229 de 40.969 UPAs por réplica, com reescala √(m/G)).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A pergunta que a banca vai fazer: “os dois padrões não se contradizem?”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Não. A QR estima quantis condicionais: β(τ) compara negros e brancos na mesma posição dentro da distribuição de pessoas com o mesmo perfil observável. O crescimento de |β(τ)| significa que a dispersão condicional é maior entre brancos (fanning out) — não que “os negros do topo sofrem mais”: quantis não seguem indivíduos.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A RIF-OB decompõe quantis incondicionais da distribuição de renda do país. Como a composição observável concentra negros na base, a parcela de retornos é maior ali. Um resultado é sobre preço; o outro, sobre distribuição.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0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r_ri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Teto de vidro e piso pegajoso são o mesmo fenômeno visto de dois ângulos.</w:t>
      </w:r>
    </w:p>
    <w:p>
      <w:pPr>
        <w:pStyle w:val="Heading2"/>
      </w:pPr>
      <w:r>
        <w:rPr>
          <w:rFonts w:ascii="Calibri" w:hAnsi="Calibri"/>
          <w:color w:val="1F3864"/>
        </w:rPr>
        <w:t>3.4  GLMM logístico de acesso (lme4::glmer)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2"/>
        </w:rPr>
        <w:t>▌ Pergunta</w:t>
      </w:r>
    </w:p>
    <w:p>
      <w:pPr>
        <w:spacing w:after="40"/>
        <w:ind w:left="454"/>
        <w:jc w:val="both"/>
      </w:pPr>
      <w:r>
        <w:rPr>
          <w:rFonts w:ascii="Calibri" w:hAnsi="Calibri"/>
          <w:b w:val="0"/>
          <w:i w:val="0"/>
          <w:sz w:val="21"/>
        </w:rPr>
        <w:t>Controlando escolaridade, sexo, idade, estado e contexto do bairro, um trabalhador negro tem a mesma chance de ocupar um cargo qualificado ou de chegar ao topo da renda?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Desfecho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OR (IC 95%)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AME (p.p.)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ICC UPA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AUC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E-value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Cargo qualificado (CBO 1–4)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0,699 (0,696–0,702)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−5,5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0,198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0,831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2,2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Topo 20% da renda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0,688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−4,7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0,281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0,844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2,3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Topo 10% da renda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0,654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−3,0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0,350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0,878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2,4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Leitura em uma frase: a chance de um trabalhador negro ocupar cargo qualificado é 30% menor que a de um branco do mesmo bairro e perfil; no décimo superior da renda, 35% menor. O gradiente (0,699 → 0,688 → 0,654) é o teto de vidro.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Diga “chance” (odds), não “probabilidade”: por isso o AME está ao lado — 5,5 pontos percentuais de probabilidade.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Ajuste: AUC = 0,831 com efeito aleatório contra 0,790 só com efeitos fixos; corte de Youden 0,30 (sensibilidade 0,82, especificidade 0,68). O teste LR contra o logit pooled é 411.007 — o efeito aleatório de bairro não é ornamento.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89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lmm_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porta é mais estreita para trabalhadores negros — e estreita ainda mais no topo da distribuição.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4 — A ROBUSTEZ (É AQUI QUE A DEFESA SE GANHA)</w:t>
      </w:r>
    </w:p>
    <w:p>
      <w:pPr>
        <w:pStyle w:val="Heading2"/>
      </w:pPr>
      <w:r>
        <w:rPr>
          <w:rFonts w:ascii="Calibri" w:hAnsi="Calibri"/>
          <w:color w:val="1F3864"/>
        </w:rPr>
        <w:t>4.1  Konfound e E-values — e se faltar uma variável?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Konfound (M3): seria preciso que 99,0% da estimativa fosse viés para invalidar a inferência; a correlação parcial exigida do confundidor (ITCV = 0,069) é maior que a de qualquer covariável observada.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E-value (acesso, M2) = 2,2: um confundidor não medido precisaria estar associado a ser negro e ao acesso com OR de pelo menos 2,2 — acima do observado para escolaridade superior.</w:t>
      </w:r>
    </w:p>
    <w:p>
      <w:pPr>
        <w:pStyle w:val="Heading2"/>
      </w:pPr>
      <w:r>
        <w:rPr>
          <w:rFonts w:ascii="Calibri" w:hAnsi="Calibri"/>
          <w:color w:val="1F3864"/>
        </w:rPr>
        <w:t>4.2  Balanceamento e suporte comum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Das 19 covariáveis comparadas entre brancos e negros, 14 têm d de Cohen abaixo de 0,2 (desequilíbrio pequeno).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maior desequilíbrio é justamente o bairro (% negro na UPA (z), d = −1,18) — o que reforça a tese, não a enfraquece: a segregação residencial é o desequilíbrio, não um ruído a controlar.</w:t>
      </w:r>
    </w:p>
    <w:p>
      <w:pPr>
        <w:pStyle w:val="Heading2"/>
      </w:pPr>
      <w:r>
        <w:rPr>
          <w:rFonts w:ascii="Calibri" w:hAnsi="Calibri"/>
          <w:color w:val="1F3864"/>
        </w:rPr>
        <w:t>4.3  Multicolinearidade (VIF) no M4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VIF máximo = 22,25 (Educ.: não registrada); 2 de 24 preditores acima de 10, ambos do bloco educacional — colinearidade por construção.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que importa: o VIF de 'negro' é 1,37. A colinearidade infla o erro-padrão dos retornos educacionais, não o do coeficiente de interesse.</w:t>
      </w:r>
    </w:p>
    <w:p>
      <w:pPr>
        <w:pStyle w:val="Heading2"/>
      </w:pPr>
      <w:r>
        <w:rPr>
          <w:rFonts w:ascii="Calibri" w:hAnsi="Calibri"/>
          <w:color w:val="1F3864"/>
        </w:rPr>
        <w:t>4.4  Machine learning: validação cruzada e SHAP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R² teste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R² treino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 treino–teste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0,569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0,570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0,0015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0,628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0,637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0,0090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XGBoost sem renda da UPA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0,598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0,608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0,0092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Validação cruzada de 5 folds sobre a população (6.155.355 de treino, 1.538.839 de teste): R² = 0,628 ± 0,0007.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A profundidade máxima 10 foi escolhida entre 6 configurações testadas numa partição de validação dentro do treino — a pior delas (profundidade 4) dava R² = 0,603. Diga isso se perguntarem por que 10.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Erro na unidade original: mediana de R$ 538 por mês (37,3% do rendimento), com correção de smearing de Duan (1,178) — porque o modelo prevê log de renda.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SHAP: a variável racial ocupa a 11ª posição entre 29 preditores no XGBoost (|SHAP| = 0,0314). Sem a renda média do bairro entre as features, a contribuição da raça é 0,0307 — praticamente a mesma: o resultado não depende do preditor de vizinhança.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66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_xg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Contexto do bairro e jornada dominam a previsão de renda; a raça aparece na 11ª posição entre 29 preditores.</w:t>
      </w:r>
    </w:p>
    <w:p>
      <w:pPr>
        <w:pStyle w:val="Heading2"/>
      </w:pPr>
      <w:r>
        <w:rPr>
          <w:rFonts w:ascii="Calibri" w:hAnsi="Calibri"/>
          <w:color w:val="1F3864"/>
        </w:rPr>
        <w:t>4.5  Interseccionalidade (raça × gênero)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4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Grupo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 vs. homem branco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Dotações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Retornos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 do grupo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Mulher branca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19,7%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−51,9%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151,9%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1.423.994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Homem negro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56,3%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73,9%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26,1%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2.664.739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Mulher negra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80,6%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35,3%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64,7%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1.769.943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Penalidade extra da mulher negra: 4,6 pontos percentuais além da soma das penalidades de raça e de gênero isoladas — o efeito interseccional puro (Crenshaw, 1989).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O sinal negativo das dotações da mulher branca significa que as características observáveis dela superam as do homem branco: todo o gap dela vem de retornos.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946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o_rg_intersecc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16161"/>
          <w:sz w:val="19"/>
        </w:rPr>
        <w:t>A mulher negra entra na categoria, mas não chega ao topo.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5 — EQUAÇÕES PARA MEMORIZAR</w:t>
      </w:r>
    </w:p>
    <w:p>
      <w:pPr>
        <w:pStyle w:val="Heading2"/>
      </w:pPr>
      <w:r>
        <w:rPr>
          <w:rFonts w:ascii="Calibri" w:hAnsi="Calibri"/>
          <w:color w:val="1F3864"/>
        </w:rPr>
        <w:t>5.1  HLM de dois níveis</w:t>
      </w:r>
    </w:p>
    <w:p>
      <w:pPr>
        <w:spacing w:before="0" w:after="40"/>
        <w:jc w:val="both"/>
      </w:pPr>
      <w:r>
        <w:rPr>
          <w:rFonts w:ascii="Calibri" w:hAnsi="Calibri"/>
          <w:b/>
          <w:i w:val="0"/>
          <w:sz w:val="22"/>
        </w:rPr>
        <w:t>Nível 1 (indivíduo i na UPA j):</w:t>
      </w:r>
    </w:p>
    <w:p>
      <w:pPr>
        <w:spacing w:before="0" w:after="120"/>
        <w:ind w:left="454"/>
        <w:jc w:val="both"/>
      </w:pPr>
      <w:r>
        <w:rPr>
          <w:rFonts w:ascii="Calibri" w:hAnsi="Calibri"/>
          <w:b w:val="0"/>
          <w:i w:val="0"/>
          <w:sz w:val="22"/>
        </w:rPr>
        <w:t>ln(W)ᵢⱼ = β₀ⱼ + β₁·Negroᵢⱼ + β₂·Sexoᵢⱼ + β₃·Xᵢⱼ + β₄·X²ᵢⱼ + Σₑ βₑ·Educₑ,ᵢⱼ + β₅′Zᵢⱼ + εᵢⱼ,  ε ~ N(0, σ²)</w:t>
      </w:r>
    </w:p>
    <w:p>
      <w:pPr>
        <w:spacing w:before="0" w:after="40"/>
        <w:jc w:val="both"/>
      </w:pPr>
      <w:r>
        <w:rPr>
          <w:rFonts w:ascii="Calibri" w:hAnsi="Calibri"/>
          <w:b/>
          <w:i w:val="0"/>
          <w:sz w:val="22"/>
        </w:rPr>
        <w:t>Nível 2 (bairro j):</w:t>
      </w:r>
    </w:p>
    <w:p>
      <w:pPr>
        <w:spacing w:before="0" w:after="120"/>
        <w:ind w:left="454"/>
        <w:jc w:val="both"/>
      </w:pPr>
      <w:r>
        <w:rPr>
          <w:rFonts w:ascii="Calibri" w:hAnsi="Calibri"/>
          <w:b w:val="0"/>
          <w:i w:val="0"/>
          <w:sz w:val="22"/>
        </w:rPr>
        <w:t>β₀ⱼ = γ₀₀ + γ₀₁·%Negroⱼ + γ₀₂·Contextoⱼ + u₀ⱼ,  u₀ⱼ ~ N(0, τ²)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ICC = τ² / (τ² + σ²) = 0,3370 / (0,3370 + 0,5759) = 0,369</w:t>
      </w:r>
    </w:p>
    <w:p>
      <w:pPr>
        <w:pStyle w:val="Heading2"/>
      </w:pPr>
      <w:r>
        <w:rPr>
          <w:rFonts w:ascii="Calibri" w:hAnsi="Calibri"/>
          <w:color w:val="1F3864"/>
        </w:rPr>
        <w:t>5.2  Oaxaca–Blinder (twofold, referência = estrutura de preços dos brancos)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ln(W̄_B) − ln(W̄_N) = (X̄_B − X̄_N)′β̂_B  +  X̄_N′(β̂_B − β̂_N)</w:t>
      </w:r>
    </w:p>
    <w:p>
      <w:pPr>
        <w:spacing w:before="0" w:after="120"/>
        <w:ind w:left="454"/>
        <w:jc w:val="both"/>
      </w:pPr>
      <w:r>
        <w:rPr>
          <w:rFonts w:ascii="Calibri" w:hAnsi="Calibri"/>
          <w:b w:val="0"/>
          <w:i w:val="0"/>
          <w:color w:val="616161"/>
          <w:sz w:val="20"/>
        </w:rPr>
        <w:t xml:space="preserve">                      └── dotações ──┘   └──── retornos ────┘</w:t>
      </w:r>
    </w:p>
    <w:p>
      <w:pPr>
        <w:pStyle w:val="Heading2"/>
      </w:pPr>
      <w:r>
        <w:rPr>
          <w:rFonts w:ascii="Calibri" w:hAnsi="Calibri"/>
          <w:color w:val="1F3864"/>
        </w:rPr>
        <w:t>5.3  GLMM logístico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logit(P(Yᵢⱼ = 1)) = γ₀₀ + β₁·Negroᵢⱼ + β′Xᵢⱼ + u₀ⱼ,  u₀ⱼ ~ N(0, τ²)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ICC = τ² / (τ² + π²/3);  OR = exp(β₁) = 0,699</w:t>
      </w:r>
    </w:p>
    <w:p>
      <w:pPr>
        <w:pStyle w:val="Heading2"/>
      </w:pPr>
      <w:r>
        <w:rPr>
          <w:rFonts w:ascii="Calibri" w:hAnsi="Calibri"/>
          <w:color w:val="1F3864"/>
        </w:rPr>
        <w:t>5.4  E-value (VanderWeele &amp; Ding, 2017)</w:t>
      </w:r>
    </w:p>
    <w:p>
      <w:pPr>
        <w:spacing w:before="0" w:after="40"/>
        <w:ind w:left="454"/>
        <w:jc w:val="both"/>
      </w:pPr>
      <w:r>
        <w:rPr>
          <w:rFonts w:ascii="Calibri" w:hAnsi="Calibri"/>
          <w:b w:val="0"/>
          <w:i w:val="0"/>
          <w:sz w:val="22"/>
        </w:rPr>
        <w:t>E = RR + √(RR·(RR − 1)),  com RR = 1/OR quando OR &lt; 1</w:t>
      </w:r>
    </w:p>
    <w:p>
      <w:pPr>
        <w:spacing w:before="0" w:after="120"/>
        <w:ind w:left="454"/>
        <w:jc w:val="both"/>
      </w:pPr>
      <w:r>
        <w:rPr>
          <w:rFonts w:ascii="Calibri" w:hAnsi="Calibri"/>
          <w:b/>
          <w:i w:val="0"/>
          <w:sz w:val="22"/>
        </w:rPr>
        <w:t>Para OR = 0,699:  E = 2,21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6 — AS PERGUNTAS DIFÍCEIS, COM RESPOSTA PRONTA</w:t>
      </w: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B71C1C"/>
          <w:sz w:val="22"/>
        </w:rPr>
        <w:t>Regra de ouro: nunca diga “causa”, “prova” ou “determina”. Diga “associa-se”, “é consistente com”, “penalidade condicional a X”.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Isso é causal?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Não, e o trabalho não afirma que seja. O que se estima é associação condicional sob seleção em observáveis. A seção de limitações lista as sete hipóteses uma a uma e o que acontece se cada uma falhar. O que sustenta o diagnóstico é a convergência de quatro métodos e a magnitude: seria preciso 99,0% de viés, ou um confundidor com OR de 2,2, para anular o resultado.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Controlar por ocupação não é bad control?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É, e é por isso que as duas versões são reportadas lado a lado. Ocupação, formalidade e horas são desfechos da própria discriminação: incluí-las (M4, especificação B da Oaxaca-Blinder) dá 7,0% — um limite inferior descritivo, a discriminação dentro da ocupação. Sem elas (M3, especificação A) o gap é 10,2%. A comparação com a literatura é feita sempre na mesma especificação.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A renda média do bairro não é reflexo (Manski)?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 — e por isso ela foi removida dos modelos de acesso e, no XGBoost, substituída pela média leave-one-out, que exclui o próprio indivíduo. O R² cai pouco e a contribuição SHAP da raça fica praticamente idêntica (0,0314 contra 0,0307 sem a variável). Ainda assim, choques comuns ao bairro impedem leitura causal do coeficiente contextual, e isso está dito nas limitações.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Os erros-padrão consideram o desenho da PNAD?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Sim. A PNAD amostra por conglomerados, então todos os modelos reportam erro-padrão agrupado por UPA ou modelam o bairro como efeito aleatório. Oaxaca-Blinder, regressão quantílica e RIF usam bootstrap em blocos de UPA. Para o agrupamento por UF, que tem só 27 clusters, usa-se t com G−1 graus de liberdade — abaixo das 42 unidades que Angrist e Pischke sugerem como piso para a aproximação normal.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não usar os pesos amostrais?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As estimativas principais são não ponderadas e isso está declarado: elas descrevem a regressão na amostra, não a média populacional. Como robustez, o modelo-chave foi reestimado com o peso V1028 e o gap muda menos de meio ponto percentual. Em regressão com os estratos do desenho entre os controles, ponderar altera pouco os coeficientes e infla a variância.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Com 7,7 milhões de observações, tudo não fica significativo?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Fica — e é por isso que a leitura privilegia magnitude, intervalos de confiança e E-values, não asteriscos. Um exemplo no próprio trabalho: a tendência temporal do gap, com esse N, tem p = 0,077 e não se distingue de zero; a conclusão conservadora é que a década não produziu convergência mensurável.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UPA como efeito aleatório e UF como efeito fixo?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Porque 27 unidades são poucas para estimar uma distribuição no terceiro nível, e 26 dummies absorvem todo o contexto estadual sem hipótese distribucional. A hipótese em teste é sobre o bairro, que tem 40.969 unidades. Como contraprova, todos os coeficientes foram reestimados com efeitos fixos de UF e erro agrupado por UPA, com as mesmas conclusões.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Só analisa quem tem renda positiva — isso não é seleção?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É condicionar no desfecho, sim. A direção provável do viés é de subestimação: se os trabalhadores negros que permanecem ocupados são positivamente selecionados em atributos não observados, o gap entre observados é menor que o gap potencial. O modelo logístico de acesso trata diretamente a outra metade do problema, e a correção de Heckman, estimada na versão estendida, indicou seleção não nula com o coeficiente racial estável em sinal e ordem de grandeza.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OR de 0,699 quer dizer 30% menos probabilidade?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Não: quer dizer 30% menos chance, no sentido de odds. Em probabilidade, o efeito marginal médio é de 5,5 pontos percentuais. Os dois números estão na tabela justamente para essa pergunta.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machine learning num trabalho de econometria?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Ele não estima efeito nenhum — tem função de contraprova. Se a penalidade racial fosse artefato da forma funcional linear imposta pelo HLM, um modelo sem essa imposição não daria peso à variável de raça. Dá: 11ª posição entre 29 preditores. É convergência entre dois regimes epistemológicos diferentes — um inferencial, outro preditivo.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Como sabe que o XGBoost não está sobreajustado?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Três evidências: o gap entre R² de treino e de teste é 0,0090; N é muitas ordens de grandeza maior que a complexidade do modelo regularizado; e o R² de teste é estável entre a validação cruzada de 5 folds (0,628 ± 0,0007) e a partição única. Ampliar a base de amostral para populacional reduz, não aumenta, o risco de sobreajuste.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Por que não há análise de redes sociais nem pesquisa operacional?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Porque o escopo foi fechado em quatro métodos que respondem a quatro perguntas distintas e podem ser defendidos em profundidade. As análises de redes e de priorização de políticas existem, estão preservadas no branch mestrado-extenso do repositório, mas ficaram como agenda: sem dado de vínculo individual, a rede é de co-residência e não de indicação profissional — o mecanismo de Granovetter fica como hipótese não testada.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A mulher negra tem penalidade dupla ou tripla?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Nem uma nem outra, e é esse o achado: a penalidade dela (80,6% vs. o homem branco) é maior que a soma das penalidades isoladas de raça e de gênero, mas por 4,6 pontos percentuais, não pelo dobro. A interação é sub-aditiva: existe efeito interseccional puro, e ele é menor do que a leitura mais dramática sugeriria. Dizer o número exato é mais forte que dizer “dupla discriminação”.</w:t>
      </w:r>
    </w:p>
    <w:p>
      <w:pPr>
        <w:spacing w:before="160" w:after="40"/>
      </w:pPr>
      <w:r>
        <w:rPr>
          <w:rFonts w:ascii="Calibri" w:hAnsi="Calibri"/>
          <w:b/>
          <w:i w:val="0"/>
          <w:color w:val="B71C1C"/>
          <w:sz w:val="22"/>
        </w:rPr>
        <w:t xml:space="preserve">P. </w:t>
      </w:r>
      <w:r>
        <w:rPr>
          <w:rFonts w:ascii="Calibri" w:hAnsi="Calibri"/>
          <w:b/>
          <w:i w:val="0"/>
          <w:sz w:val="22"/>
        </w:rPr>
        <w:t>Qual é a maior fragilidade do trabalho?</w:t>
      </w:r>
    </w:p>
    <w:p>
      <w:pPr>
        <w:spacing w:after="80"/>
        <w:ind w:left="340"/>
        <w:jc w:val="both"/>
      </w:pPr>
      <w:r>
        <w:rPr>
          <w:rFonts w:ascii="Calibri" w:hAnsi="Calibri"/>
          <w:b/>
          <w:i w:val="0"/>
          <w:color w:val="1565C0"/>
          <w:sz w:val="21"/>
        </w:rPr>
        <w:t xml:space="preserve">R. </w:t>
      </w:r>
      <w:r>
        <w:rPr>
          <w:rFonts w:ascii="Calibri" w:hAnsi="Calibri"/>
          <w:b w:val="0"/>
          <w:i w:val="0"/>
          <w:sz w:val="21"/>
        </w:rPr>
        <w:t>O desenho transversal. Não se observa a mesma pessoa ao longo do tempo, então nada aqui identifica trajetória individual — só diferenças entre pessoas comparáveis num dado momento. A segunda é a cobertura da escolaridade detalhada, registrada para cerca de 31% da PEA no painel público; por isso os níveis entram como dummies de conclusão com indicador explícito de não-registro, e os retornos educacionais são lidos com cautela.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Checklist final da véspera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19,1% agregado → 47,0% mediado pelo bairro → 10,2% líquido → 7,0% dentro da ocupação.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OR 0,699 no acesso e 0,654 no topo 10%.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de cor: ICC 0,369 — 37% da variância é entre bairros.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explicar bad control sem consultar anotação.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explicar por que quantil condicional e incondicional não se contradizem.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Sei dizer o que faria diferente com dado longitudinal (RAIS identificada).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sz w:val="22"/>
        </w:rPr>
        <w:t>Não usei a palavra “causa” uma única vez.</w:t>
      </w:r>
    </w:p>
    <w:p>
      <w:pPr>
        <w:spacing w:before="0" w:after="240"/>
        <w:jc w:val="both"/>
      </w:pPr>
    </w:p>
    <w:p>
      <w:pPr>
        <w:spacing w:before="0" w:after="120"/>
        <w:jc w:val="both"/>
      </w:pPr>
      <w:r>
        <w:rPr>
          <w:rFonts w:ascii="Calibri" w:hAnsi="Calibri"/>
          <w:b w:val="0"/>
          <w:i/>
          <w:color w:val="616161"/>
          <w:sz w:val="18"/>
        </w:rPr>
        <w:t>Guia gerado automaticamente por tcc/scripts/gerar_guia_estudo.py a partir dos csv de outputs/tables/. Se alguma análise for reexecutada, rode o gerador de novo para que os números acompanhem.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