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[Nome completo do(a) orientador(a)]²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Titulação. Instituição (opcional). E-mail: orientador@email.com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OR=0,691), uma penalidade salarial residual e um teto de vidro que se agrava no topo da distribuição (OR de acesso ao decil superior = 0,453).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70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0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(OR=0,691; −4,84 p.p.). A barreira não é uniforme ao longo da hierarquia: ela se agrava no topo (Figura 2) — o odds ratio de acesso cai de 0,536 no quintil superior de renda para 0,453 no decil superior. É um teto de vidro de ACESSO: quanto mais valiosa a posição, mais opaco o filtro racial. O elevado ICC de UPA (22,2%)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19,8% a 2,2% (Figura 5). Segundo, o ESTADO não dissolve a barreira: o setor público atenua o gap SALARIAL racial (7,8% vs 11,2% no privado) e o homogeneíza entre UFs, mas NÃO atenua a barreira de ACESSO (OR=0,705 vs 0,695) — o concurso equaliza a remuneração de quem entra, não a entrada. Terceiro, o GÊNERO segue padrão próprio e complementar: mulheres acessam mais ocupações qualificadas (OR=2,01) mas muito menos o topo de renda (OR=0,522)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6), coerente com o fato de a maior barreira ser de acesso. A versão regionalizada mostra, ainda, que concentrar o orçamento nas UFs de maior penalidade (lideradas por DF, 20,9%)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