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7,8% no público vs 11,2% no privado — e a HOMOGENEÍZA entre estados (τ²=0,00140 vs 0,00218).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(LR=15.775, p&lt;0,001), com dispersão MAIOR que a racial (DP gênero=0,064 vs raça=0,050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(OR=2,01&gt;1, por profissões credenciadas feminizadas), mas MUITO MENOS acesso ao topo da renda (OR top20=0,567; top10=0,522). O teto de vidro de gênero é de REMUNERAÇÃO, não de categoria ocupacional — e sua heterogeneidade entre UFs supera a racial no topo (τ²=0,0324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