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br w:type="page"/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240" w:lineRule="auto" w:before="0" w:after="0"/>
        <w:ind w:firstLine="0"/>
        <w:jc w:val="both"/>
      </w:pPr>
      <w:r>
        <w:br w:type="page"/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108" w:name="resultados-e-discus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Resultados e Discussão</w:t>
      </w:r>
    </w:p>
    <w:bookmarkStart w:id="44" w:name="subsec:hl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Quanto do gap racial sobrevive à comparação entre dois trabalhadores que moram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mesmo bairro? A pergunta separa duas histórias muito diferentes. Se quase nada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sobrevive, o diferencial de renda é sobretudo consequência de onde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conseguem morar. Se quase tudo sobrevive, o bairro é cenário, e a diferença se produz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pessoa a pessoa, dentro da mesma rua. A Tabela 2 responde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cinco degraus,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e veja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aproximar-se de zero à medida que cada degrau acrescenta um bloco de controles.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Mais de um terço da diferença de renda está entre bairros, não dentro deles.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o modelo nulo reparte a variação do log-rendimento em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parcelas: a que separa um bairro de outro e a que separa dois vizinhos. O ICC da UPA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0,369</w:t>
      </w:r>
      <w:r>
        <w:rPr>
          <w:rStyle w:val="FootnoteReference"/>
          <w:rFonts w:ascii="Arial" w:hAnsi="Arial"/>
          <w:sz w:val="22"/>
        </w:rPr>
        <w:footnoteReference w:id="33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isto é,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variância do log-rendimento está entre bairros</w:t>
      </w:r>
      <w:r>
        <w:rPr>
          <w:rFonts w:ascii="Arial" w:hAnsi="Arial"/>
          <w:sz w:val="22"/>
        </w:rPr>
        <w:t xml:space="preserve">. Em linguagem de leitor: de toda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de renda entre duas pessoas sorteadas ao acaso no país, mais de um terço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está dada antes de se saber qualquer coisa sobre elas, apenas por morarem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diferentes. É muito acima do limiar de 5% a partir do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consideram indispensável tratar a estrutura aninhada, e maior do que a parcela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estados (cerca de 10%, no modelo alternativo com UF aleatória usado como robustez).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Ignorar essa estrutura trataria como independentes pessoas que compartilham o mesmo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mercado 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Comparar vizinhos apaga quase metade do gap.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UF; ver a seção Inferência),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19,1% a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</w:t>
      </w:r>
      <w:r>
        <w:rPr>
          <w:rStyle w:val="FootnoteReference"/>
          <w:rFonts w:ascii="Arial" w:hAnsi="Arial"/>
          <w:sz w:val="22"/>
        </w:rPr>
        <w:footnoteReference w:id="34"/>
      </w:r>
      <w:r>
        <w:rPr>
          <w:rFonts w:ascii="Arial" w:hAnsi="Arial"/>
          <w:sz w:val="22"/>
        </w:rPr>
        <w:t xml:space="preserve">. O M1 acrescenta o intercepto aleatório de UPA —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prática, um nível de renda próprio para cada bairro — e com ele a comparação deixa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entre todos os trabalhadores do país e passa a ser entre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mesmo bairro</w:t>
      </w:r>
      <w:r>
        <w:rPr>
          <w:rFonts w:ascii="Arial" w:hAnsi="Arial"/>
          <w:sz w:val="22"/>
        </w:rPr>
        <w:t xml:space="preserve">: a penalidade cai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</w:t>
      </w:r>
      <w:r>
        <w:rPr>
          <w:rStyle w:val="FootnoteReference"/>
          <w:rFonts w:ascii="Arial" w:hAnsi="Arial"/>
          <w:sz w:val="22"/>
        </w:rPr>
        <w:footnoteReference w:id="35"/>
      </w:r>
      <w:r>
        <w:rPr>
          <w:rFonts w:ascii="Arial" w:hAnsi="Arial"/>
          <w:sz w:val="22"/>
        </w:rPr>
        <w:t xml:space="preserve">. Medida na régua do gap agregado,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da distância já foi percorrida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percorrida no sentido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atribuída a um fator observável, e não no sentido de explicada sem discriminação, já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em que se consegue morar é ele próprio produto de exclusão.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H2, e ele passa: negros e brancos com o mesmo capital humano não moram 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mesmos bairros, e os bairros pagam diferente. Os controles individuais explicam, além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disso, 55,2% da variância entre bairros do M0 —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 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Vale guardar a frase: quase metade do gap racial não separa duas pessoas,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separa dois endereços. Resta saber o que, num endereço, produz essa diferença.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bairro pesa pela porta de entrada, não pelo salário de quem já entrou.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pergunta o que, num bairro, faz a renda ser mais alta ou mais baixa, e responde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covariáveis de nível 2 que juntas explicam 40,1% da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bairros que restava no M1</w:t>
      </w:r>
      <w:r>
        <w:rPr>
          <w:rStyle w:val="FootnoteReference"/>
          <w:rFonts w:ascii="Arial" w:hAnsi="Arial"/>
          <w:sz w:val="22"/>
        </w:rPr>
        <w:footnoteReference w:id="36"/>
      </w:r>
      <w:r>
        <w:rPr>
          <w:rFonts w:ascii="Arial" w:hAnsi="Arial"/>
          <w:sz w:val="22"/>
        </w:rPr>
        <w:t xml:space="preserve">. A mais eloquente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composição racial: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moradores negros da UPA reduz o 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e brancos, em 0,22 log-pontos — praticamente a mesma magnitude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que um trabalhador negro carrega individualmente. É a evidência mais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ser negro custa, e morar onde moram os negros custa outra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vez, inclusive para quem não é negro. Já o coeficiente individual mal se move (de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 não depende de quem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os vizinhos.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Vale guardar a frase: o bairro não desconta o salário de quem já trabalha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 — ele decide quem consegue morar ali. A desigualdade territorial age antes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folha de pagamento.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Acrescentar o estado não move a régua.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 a penalidade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). Na régua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49,3% — praticamente os mesmos 47,0% do M1.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dado relevante aqui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aconteceu: depois que a comparação já é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vizinhos, nem o contexto do bairro (M2) nem a unidade da federação (M3) retiram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nada do diferencial. É esse patamar que este trabalho chama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observáveis, e não uma medida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discriminação.</w:t>
      </w:r>
      <w:r>
        <w:rPr>
          <w:rStyle w:val="FootnoteReference"/>
          <w:rFonts w:ascii="Arial" w:hAnsi="Arial"/>
          <w:sz w:val="22"/>
        </w:rPr>
        <w:footnoteReference w:id="37"/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o gap encolhe — o que não é o mesmo que explicá-lo.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M4 acrescenta vínculo e grupo ocupacional, e a penalidade cai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7,0%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). A régua vai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65,9% do gap agregado</w:t>
      </w:r>
      <w:r>
        <w:rPr>
          <w:rFonts w:ascii="Arial" w:hAnsi="Arial"/>
          <w:sz w:val="22"/>
        </w:rPr>
        <w:t xml:space="preserve">. A tentação é ler esse número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terços do gap estão explicados”</w:t>
      </w:r>
      <w:r>
        <w:rPr>
          <w:rFonts w:ascii="Arial" w:hAnsi="Arial"/>
          <w:sz w:val="22"/>
        </w:rPr>
        <w:t xml:space="preserve">, e é precisamente essa leitura que o desenho do estudo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autoriza: a ocupação não é uma característica que a pessoa traz consigo,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 ao qual ela precisou obter acesso — e o acesso é justamente onde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 a seção GLMM logístico encontra a barreira mais forte. Controlar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é, portanto, descontar do gap uma parte do próprio gap. Por isso o M4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descritivo, e não o número a citar como a penalidade racial brasileira.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Vale guardar a frase: 7,0% é onde a régua termina, não onde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verdadeiro está. O número deste trabalho é o gap líquido de 10,2% do M3;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7,0% mede o que sobra depois de descontar um canal que é ele próprio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não é a mesma em todo bairro.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Até aqui a penalidade racial foi tratada como um número único. Deixá-la variar de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bairro melhora significativamente o ajuste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 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), e o desvio-padrão dessa variação é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</w:t>
      </w:r>
      <w:r>
        <w:rPr>
          <w:rStyle w:val="FootnoteReference"/>
          <w:rFonts w:ascii="Arial" w:hAnsi="Arial"/>
          <w:sz w:val="22"/>
        </w:rPr>
        <w:footnoteReference w:id="38"/>
      </w:r>
      <w:r>
        <w:rPr>
          <w:rFonts w:ascii="Arial" w:hAnsi="Arial"/>
          <w:sz w:val="22"/>
        </w:rPr>
        <w:t xml:space="preserve">. Em bairros a um desvio-padrão de cada lado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média, a penalidade vai de −0,280 a 0,063 log-pontos: há bairros em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é mais do que o dobro da média e bairros em que ele se inverte.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 tem geografia — e a covariância entre intercepto e inclinação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(−0,0245) indica que a penalidade é maior nos bairros de renda-base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alta. A Figura 1 contrasta os efeitos fixos de estado com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interceptos estimados para os bairros. A Figura 1 contrasta os efeitos fixos de estado com os interceptos estimados para os bairros.</w:t>
      </w:r>
    </w:p>
    <w:bookmarkStart w:id="42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42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gap verdadeiro está entre dois limites, e nenhum confundidor plausível o anula.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43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4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44"/>
    <w:bookmarkStart w:id="60" w:name="subsec:ml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Todos os modelos até aqui impuseram uma forma à realidade: rendimento linear 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controles, efeitos que se somam, penalidade racial constante. E se a forma estiver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errada — se o gap que os coeficientes mostram for, em alguma medida, artefato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equação escolhida? Árvores de decisão respondem a essa objeção porque não pressupõem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nenhuma: descobrem sozinhas interações e não linearidades e, com os valores SHAP,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dizem quanto cada variável pesou em cada previsão. Se a raça aparecer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relevantes de um modelo que nunca foi instruído a procurá-la, o achado deixa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depender da especificação. A Tabela 3 traz o desempenho dos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teste, separado antes de qualquer ajuste.</w:t>
      </w:r>
    </w:p>
    <w:bookmarkStart w:id="45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4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 4). A 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aumentar o sobreajuste em relação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usada na versão anterior deste trabalho.</w:t>
      </w:r>
      <w:r>
        <w:rPr>
          <w:rStyle w:val="FootnoteReference"/>
          <w:rFonts w:ascii="Arial" w:hAnsi="Arial"/>
          <w:sz w:val="22"/>
        </w:rPr>
        <w:footnoteReference w:id="46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um treino desse tamanho,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na quarta casa decimal: aqui a validação cruzada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7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7"/>
    <w:bookmarkStart w:id="48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Ampliar a base reduz o risco de sobreajuste, em vez de aumentá-lo.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objeção usual a modelos flexíveis é que eles decoram os dados em vez de aprender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eles — e quem decorou prevê bem o que já viu e mal o que não viu. Não é o caso aqui,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razão é o tamanho da base: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 teste praticamente coincidem,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de 0,0090</w:t>
      </w:r>
      <w:r>
        <w:rPr>
          <w:rStyle w:val="FootnoteReference"/>
          <w:rFonts w:ascii="Arial" w:hAnsi="Arial"/>
          <w:sz w:val="22"/>
        </w:rPr>
        <w:footnoteReference w:id="49"/>
      </w:r>
      <w:r>
        <w:rPr>
          <w:rFonts w:ascii="Arial" w:hAnsi="Arial"/>
          <w:sz w:val="22"/>
        </w:rPr>
        <w:t xml:space="preserve">. Três evidências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convergem: a diferença entre treino e teste é praticamente nula; o número de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supera em muitas ordens de grandeza a complexidade dos modelos, todos regularizados; 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quase não muda ao se passar de uma subamostra para a população inteira.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contrário da intuição corrente: ampliar a base, de amostral para populacional, reduz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risco de sobreajuste em vez de aumentá-lo. A Tabela 5 traz o ranking completo das variáveis nos dois modelos.</w:t>
      </w:r>
    </w:p>
    <w:bookmarkStart w:id="50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5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</w:t>
      </w:r>
    </w:p>
    <w:bookmarkStart w:id="54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outputs/figures/shap_beeswarm_xgb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5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,</w:t>
      </w:r>
      <w:r>
        <w:rPr>
          <w:rStyle w:val="FootnoteReference"/>
          <w:rFonts w:ascii="Arial" w:hAnsi="Arial"/>
          <w:sz w:val="22"/>
        </w:rPr>
        <w:footnoteReference w:id="55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 3 ilustra como a previsão de um caso individual é composta.</w:t>
      </w:r>
    </w:p>
    <w:bookmarkStart w:id="59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60"/>
    <w:bookmarkStart w:id="66" w:name="X03c9c993697b2951d32c364cc1a724101cab21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61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61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4 resume a sequência de degraus em barras.</w:t>
      </w:r>
    </w:p>
    <w:bookmarkStart w:id="65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puts/figures/fig_hlm_gap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66"/>
    <w:bookmarkStart w:id="72" w:name="X0e69078f56ff2fc58d4b5157c72cc4a5dec12bc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Oaxaca–Blinder: composição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vs.</w:t>
      </w:r>
      <w:r>
        <w:rPr>
          <w:rFonts w:ascii="Arial" w:hAnsi="Arial"/>
          <w:b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De que é feito o gap? Duas explicações rivalizam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elas pedem políticas opostas. Ou negros e brancos chegam ao mercado com características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diferentes e o mercado paga igual por características iguais — o gap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composição</w:t>
      </w:r>
      <w:r>
        <w:rPr>
          <w:rFonts w:ascii="Arial" w:hAnsi="Arial"/>
          <w:sz w:val="22"/>
        </w:rPr>
        <w:t xml:space="preserve">, e a política tem de agir antes do mercado, na escola e na formação.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chegam com as mesmas características e o mercado paga diferente — o gap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, e a política tem de agir dentro dele, na contratação e na fiscalização.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distinção é empírica, e a decomposição de Oaxaca–Blinder foi construída para fazê-la.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67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67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5 apresenta as duas especificações em forma de cascata.</w:t>
      </w:r>
    </w:p>
    <w:bookmarkStart w:id="71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outputs/figures/fig_ob_cascata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71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72"/>
    <w:bookmarkStart w:id="79" w:name="subsec:qr_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RIF-OB: teto de vidro e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penalidade racial é a mesma em toda a distribuição de renda? Nada obriga que seja,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as duas possibilidades apontam para lugares diferentes. Se ela crescer rumo ao topo,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é um teto de vidro: quanto mais alto se sobe, mais a cor pesa, e o alvo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são as posições de comando. Se for maior na base, o problema é um piso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pegajoso, e concentrar esforços nas elites profissionais erra o alvo por inteiro.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 a seguir mostram que as duas leituras estão corretas — porque respondem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perguntas diferentes, e a subseção termina explicando por que não se contradizem.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73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7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4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7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6 põe os dois ângulos lado a lado.</w:t>
      </w:r>
    </w:p>
    <w:bookmarkStart w:id="78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outputs/figures/fig_qr_rif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78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9"/>
    <w:bookmarkStart w:id="90" w:name="subsec:glm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Até aqui a pergunta foi quanto um trabalhador negro ganha a menos. Ela pressupõe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e brancos estejam disputando as mesmas vagas. E se a barreira for anterior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salário — se ela estiver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posições cada um consegue alcançar?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desta subseção, e ela importa porque muda o alvo da política: se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 produz no salário, o remédio é fiscalização de remuneração; se ela se produz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acesso, nenhuma política salarial a alcança. Três desfechos respondem — ocupar cargo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qualificado (CBO 1–4), estar no top 20% e no top 10% da renda —, cada um 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HLM, com intercepto aleatório de UPA e efeitos fixos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UF.</w:t>
      </w:r>
      <w:r>
        <w:rPr>
          <w:rStyle w:val="FootnoteReference"/>
          <w:rFonts w:ascii="Arial" w:hAnsi="Arial"/>
          <w:sz w:val="22"/>
        </w:rPr>
        <w:footnoteReference w:id="80"/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primeira coisa que o modelo mostra é que a lógica territorial do HLM se repete aqui.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20% e 35% da variância latente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está entre bairros</w:t>
      </w:r>
      <w:r>
        <w:rPr>
          <w:rStyle w:val="FootnoteReference"/>
          <w:rFonts w:ascii="Arial" w:hAnsi="Arial"/>
          <w:sz w:val="22"/>
        </w:rPr>
        <w:footnoteReference w:id="81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ou seja, saber apenas em que bairro alguém mora já antecipa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boa parte da chance de essa pessoa chegar a um cargo qualificado, antes de se conhecer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sua escolaridade. E a fração é maior para o top 10% do que para o cargo qualificado: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mais alto o degrau, mais o endereço pesa.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estreita ainda mais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Comparando pessoas do mesmo bairro, com a mesma escolaridade, sexo, idade, jornada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estado, a chance de um trabalhador negro ocupar cargo qualificado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</w:t>
      </w:r>
      <w:r>
        <w:rPr>
          <w:rStyle w:val="FootnoteReference"/>
          <w:rFonts w:ascii="Arial" w:hAnsi="Arial"/>
          <w:sz w:val="22"/>
        </w:rPr>
        <w:footnoteReference w:id="82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chance de um branco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menos chance</w:t>
      </w:r>
      <w:r>
        <w:rPr>
          <w:rFonts w:ascii="Arial" w:hAnsi="Arial"/>
          <w:sz w:val="22"/>
        </w:rPr>
        <w:t xml:space="preserve">. Traduzido para probabilidade, que é a medida a reter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5,5 pontos percentuais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menos de chegar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lá. E a porta estreita à medida que se sobe: no top 10% da renda o OR cai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0,654,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35% menos chance</w:t>
      </w:r>
      <w:r>
        <w:rPr>
          <w:rFonts w:ascii="Arial" w:hAnsi="Arial"/>
          <w:sz w:val="22"/>
        </w:rPr>
        <w:t xml:space="preserve">. Não é o mesmo fenômeno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salário visto de outro ângulo — é uma barreira que age antes, na distribuição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posições, e que nenhuma política de remuneração igual alcançaria.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Vale guardar a frase: a desigualdade racial no mercado de trabalho brasileiro não começa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contracheque, começa na porta.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Duas explicações alternativas se apresentam naturalmente, e o modelo testa as duas.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é a informalidade: a barreira seria um artefato de negros estarem mais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vínculos precários. Descontar o vínculo (M3) praticamente não move o OR do cargo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qualificado (0,691) nem o do top 10% (0,656), de modo que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isso. A segunda é o diploma: bastaria credenciar-se.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 do M4 é de 1,069 para o superior completo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1,060 para a pós-graduação — o diploma atenua a penalidade sem eliminá-la —, mas o 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 de um trabalhador negro com superior completo ainda é 0,735.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reduz a barreira; não a neutraliza. A Figura 7 reúne as razões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Seria preciso um confundidor mais forte que qualquer variável observada.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separa bem quem acessa de quem não acessa</w:t>
      </w:r>
      <w:r>
        <w:rPr>
          <w:rStyle w:val="FootnoteReference"/>
          <w:rFonts w:ascii="Arial" w:hAnsi="Arial"/>
          <w:sz w:val="22"/>
        </w:rPr>
        <w:footnoteReference w:id="83"/>
      </w:r>
      <w:r>
        <w:rPr>
          <w:rFonts w:ascii="Arial" w:hAnsi="Arial"/>
          <w:sz w:val="22"/>
        </w:rPr>
        <w:t xml:space="preserve">, mas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que interessa não é essa: é se a desvantagem poderia ser obra de algo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 não viu. O E-value responde quanto um confundidor omitido teria de ser forte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anular o resultado, e aqui ele vale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2,2</w:t>
      </w:r>
      <w:r>
        <w:rPr>
          <w:rFonts w:ascii="Arial" w:hAnsi="Arial"/>
          <w:sz w:val="22"/>
        </w:rPr>
        <w:t xml:space="preserve">: seria preciso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 não medida associada tanto a ser negro quanto a ocupar cargo qualificado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razão de risco de pelo menos 2,2 em ambas as pontas — mais forte 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efetivamente observada nestes dados, escolaridade inclusive. Por fim,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logit com efeitos fixos de UF e erro-padrão agrupado por UPA (última coluna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10) reproduz os mesmos OR: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 A Figura 7 reúne as razões de chance dos três desfechos e dos modelos de cada um.</w:t>
      </w:r>
    </w:p>
    <w:bookmarkStart w:id="87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outputs/figures/fig_glmm_o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8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88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8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89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8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12 decompõe o diferencial de cada grupo contra o homem branco.</w:t>
      </w:r>
    </w:p>
    <w:bookmarkEnd w:id="90"/>
    <w:bookmarkStart w:id="99" w:name="X1df7cc4eb0c7cc9fb7ddad12c1316189c49cc50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Interseccionalidade: raça e gênero no acesso e no topo</w:t>
      </w:r>
    </w:p>
    <w:bookmarkStart w:id="91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91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92" w:name="subsec:interseccional"/>
      <w:bookmarkEnd w:id="92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Raça e gênero simplesmente se somam? Todos os modelos até aqui responderam que sim,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construção: tratadas como penalidades aditivas,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seria a de ser negro mais a de ser mulher.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Crenshaw (1989)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desconfia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dessa aritmética, e a desconfiança é testável — basta trocar os dois indicadores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separados por um único fator de quatro grupos e deixar que os dados digam se a soma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fecha.</w:t>
      </w:r>
      <w:r>
        <w:rPr>
          <w:rStyle w:val="FootnoteReference"/>
          <w:rFonts w:ascii="Arial" w:hAnsi="Arial"/>
          <w:sz w:val="22"/>
        </w:rPr>
        <w:footnoteReference w:id="93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Tabela 12 traz a decomposição de Oaxaca–Blinder dos quatro grupos contra o homem branco, e a Figura 8, as razões de chance nos três desfechos.</w:t>
      </w:r>
    </w:p>
    <w:bookmarkStart w:id="97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9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 entrada, a mulher negra não é o grupo mais barrado.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ocupação qualificada a resposta contraria a expectativa: a mulher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, ou seja, mais chance do que o homem branco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referência. A razão é que o efeito de gênero é positivo nesse desfecho — boa parte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profissões credenciadas de CBO 1–4 é feminizada —, e ele compensa 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racial. O grupo mais penalizado na entrada 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Se a análise parasse aqui, concluiria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 não se confirma nestes dados.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 topo, a ordem se inverte e ela passa a ser a mais excluída.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Em linguagem de leitor: a chance de uma mulher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aos 10% mais ricos é cerca de um terço da chance de um homem branco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escolaridade, idade, jornada, estado e bairro. A vantagem de gênero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alçava na entrada desaparece exatamente onde a ascensão se decide, e o que sobra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duas barreiras.</w:t>
      </w:r>
      <w:r>
        <w:rPr>
          <w:rStyle w:val="FootnoteReference"/>
          <w:rFonts w:ascii="Arial" w:hAnsi="Arial"/>
          <w:sz w:val="22"/>
        </w:rPr>
        <w:footnoteReference w:id="98"/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Vale guardar a frase: a mulher negra entra na categoria, mas não chega ao topo.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99"/>
    <w:bookmarkStart w:id="105" w:name="subsec:v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  <w:rFonts w:ascii="Arial" w:hAnsi="Arial"/>
          <w:sz w:val="22"/>
        </w:rPr>
        <w:footnoteReference w:id="100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Modelos Hierárquicos Lineares).</w:t>
      </w:r>
    </w:p>
    <w:p>
      <w:pPr>
        <w:pStyle w:val="BodyText"/>
      </w:pPr>
      <w:bookmarkStart w:id="101" w:name="sec:discussao"/>
      <w:bookmarkEnd w:id="101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  <w:rFonts w:ascii="Arial" w:hAnsi="Arial"/>
          <w:sz w:val="22"/>
        </w:rPr>
        <w:footnoteReference w:id="102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medidas não são a mesma coisa, e a diferença importa para não se ler tendência onde há mudança de conceito.</w:t>
      </w:r>
      <w:r>
        <w:rPr>
          <w:rStyle w:val="FootnoteReference"/>
          <w:rFonts w:ascii="Arial" w:hAnsi="Arial"/>
          <w:sz w:val="22"/>
        </w:rPr>
        <w:footnoteReference w:id="103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conceito adotado aqui,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 ritmo observado, a convergência levaria mais de um século — se houver convergência.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dez anos o gap encolheu 2,4%. É pouco, e é pouco de um modo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convém enunciar com precisão. Pelo valor pontual da tendência, eliminar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observado em 2016 levaria mais de um século. Mas a inclinação é tão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tênue que não se distingue de zero pelos critérios convencionais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significância</w:t>
      </w:r>
      <w:r>
        <w:rPr>
          <w:rStyle w:val="FootnoteReference"/>
          <w:rFonts w:ascii="Arial" w:hAnsi="Arial"/>
          <w:sz w:val="22"/>
        </w:rPr>
        <w:footnoteReference w:id="104"/>
      </w:r>
      <w:r>
        <w:rPr>
          <w:rFonts w:ascii="Arial" w:hAnsi="Arial"/>
          <w:sz w:val="22"/>
        </w:rPr>
        <w:t xml:space="preserve">: os dados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autorizam afirmar que exista convergência, apenas que, se existir, ela é lenta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 de ser irrelevante para quem está vivo hoje. Nada disso trivializa os avanços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recentes em políticas de cotas e de acesso ao ensino superior. Diz, sim, que reformas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campo educacional,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a redes profissionais, são insuficientes — que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precisamente o que a sequência de modelos deste trabalho mostrou.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105"/>
    <w:bookmarkStart w:id="106" w:name="limitações-e-escopo-de-validad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(ver a seção Inferência).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106"/>
    <w:bookmarkStart w:id="107" w:name="X6e5363a2ea64c40705be1be4ad3b57716cacb0d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107"/>
    <w:bookmarkEnd w:id="108"/>
    <w:bookmarkStart w:id="141" w:name="conclu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40" w:name="refs"/>
    <w:bookmarkStart w:id="109" w:name="ref-almeida201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109"/>
    <w:bookmarkStart w:id="110" w:name="ref-angrist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110"/>
    <w:bookmarkStart w:id="111" w:name="ref-arrow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111"/>
    <w:bookmarkStart w:id="112" w:name="ref-becker195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112"/>
    <w:bookmarkStart w:id="113" w:name="ref-bickel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113"/>
    <w:bookmarkStart w:id="114" w:name="ref-blind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114"/>
    <w:bookmarkStart w:id="115" w:name="ref-breiman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115"/>
    <w:bookmarkStart w:id="116" w:name="ref-cameron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116"/>
    <w:bookmarkStart w:id="117" w:name="ref-chen2016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117"/>
    <w:bookmarkStart w:id="118" w:name="ref-crenshaw198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CRENSHAW, Kimberlé. Demarginalizing the Intersection of Race and Sex: A Black Feminist Critique of Antidiscrimination Doctrine.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University of Chicago Legal Forum</w:t>
      </w:r>
      <w:r>
        <w:rPr>
          <w:rFonts w:ascii="Arial" w:hAnsi="Arial"/>
          <w:sz w:val="22"/>
        </w:rPr>
        <w:t xml:space="preserve">, v. 1989, n. 1, p. 139–167, 1989.</w:t>
      </w:r>
    </w:p>
    <w:bookmarkEnd w:id="118"/>
    <w:bookmarkStart w:id="119" w:name="ref-duan198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119"/>
    <w:bookmarkStart w:id="120" w:name="ref-firpo201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20"/>
    <w:bookmarkStart w:id="121" w:name="ref-frank201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21"/>
    <w:bookmarkStart w:id="122" w:name="ref-granovett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22"/>
    <w:bookmarkStart w:id="123" w:name="ref-hasenbalg197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23"/>
    <w:bookmarkStart w:id="124" w:name="ref-henriques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24"/>
    <w:bookmarkStart w:id="125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25"/>
    <w:bookmarkStart w:id="126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26"/>
    <w:bookmarkStart w:id="127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27"/>
    <w:bookmarkStart w:id="128" w:name="ref-koenker197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28"/>
    <w:bookmarkStart w:id="129" w:name="ref-lundberg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29"/>
    <w:bookmarkStart w:id="130" w:name="ref-manski199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30"/>
    <w:bookmarkStart w:id="131" w:name="ref-marques2010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31"/>
    <w:bookmarkStart w:id="132" w:name="ref-oaxaca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32"/>
    <w:bookmarkStart w:id="133" w:name="ref-oaxaca_ransom199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33"/>
    <w:bookmarkStart w:id="134" w:name="ref-pager200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34"/>
    <w:bookmarkStart w:id="135" w:name="ref-raudenbush2002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35"/>
    <w:bookmarkStart w:id="136" w:name="ref-sampson199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36"/>
    <w:bookmarkStart w:id="137" w:name="ref-soares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37"/>
    <w:bookmarkStart w:id="138" w:name="ref-vanderweele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38"/>
    <w:bookmarkStart w:id="139" w:name="ref-wilson198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39"/>
    <w:bookmarkEnd w:id="140"/>
    <w:bookmarkEnd w:id="141"/>
    <w:sectPr w:rsidR="00FE14AF" w:rsidRPr="000B508B" w:rsidSect="00346452">
      <w:headerReference r:id="rId11" w:type="default"/>
      <w:footerReference r:id="rId12" w:type="default"/>
      <w:footerReference r:id="rId13" w:type="first"/>
      <w:headerReference w:type="first" r:id="rId1"/>
      <w:headerReference w:type="even" r:id="rId2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Os modelos têm o logaritmo do rendimento como variável dependente, de modo que o coeficiente está em log-pontos. A variação percentual correspondente é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, e não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×</m:t>
        </m:r>
        <m:r>
          <m:t>100</m:t>
        </m:r>
      </m:oMath>
      <w:r>
        <w:t xml:space="preserve">: para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, por exemplo, tem-se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, e não</w:t>
      </w:r>
      <w:r>
        <w:t xml:space="preserve"> </w:t>
      </w:r>
      <m:oMath>
        <m:r>
          <m:rPr>
            <m:sty m:val="p"/>
          </m:rPr>
          <m:t>−</m:t>
        </m:r>
        <m:r>
          <m:t>21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 As duas leituras se aproximam quando o coeficiente é pequeno e divergem à medida que ele cresce em módulo; todos os percentuais de gap deste trabalho usam a primeira forma.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, IC 95%: [−0,1135; −0,1113].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0,1509 para</w:t>
      </w:r>
      <w:r>
        <w:t xml:space="preserve"> </w:t>
      </w:r>
      <w:r>
        <w:t xml:space="preserve">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[−0,1087; −0,1066]. O ICC cai para 0,144 e os controles acumulados explicam</w:t>
      </w:r>
      <w:r>
        <w:t xml:space="preserve"> </w:t>
      </w:r>
      <w:r>
        <w:t xml:space="preserve">78,9% da variância entre bairros do M0; a escada completa está nas linhas</w:t>
      </w:r>
      <w:r>
        <w:t xml:space="preserve"> </w:t>
      </w:r>
      <w:r>
        <w:t xml:space="preserve">inferiores da Tabela 2.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anterior, sobre</w:t>
      </w:r>
      <w:r>
        <w:t xml:space="preserve"> </w:t>
      </w:r>
      <w:r>
        <w:t xml:space="preserve">6.155.355 observações de treino.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t xml:space="preserve">gap</w:t>
      </w:r>
      <w:r>
        <w:t xml:space="preserve"> </w:t>
      </w:r>
      <w:r>
        <w:t xml:space="preserve">aparece no Random Forest.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variáveis no modelo sem renda de vizinhança, contra</w:t>
      </w:r>
      <w:r>
        <w:t xml:space="preserve"> </w:t>
      </w:r>
      <w:r>
        <w:t xml:space="preserve">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 no modelo completo.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, aproximação de Laplace sobre a população completa.</w:t>
      </w:r>
      <w:r>
        <w:t xml:space="preserve"> </w:t>
      </w:r>
      <w:r>
        <w:t xml:space="preserve">Os degraus são: M1 individual; M2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M3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M3 um limite inferior; M4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 10 traz</w:t>
      </w:r>
      <w:r>
        <w:t xml:space="preserve"> </w:t>
      </w:r>
      <w: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 11, o ajuste e a classificação.</w:t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0,198 para o cargo qualificado e 0,350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 e 337.418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8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0,696–0,702.</w:t>
      </w:r>
      <w:r>
        <w:t xml:space="preserve"> </w:t>
      </w:r>
      <w: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0,831 com</w:t>
      </w:r>
      <w:r>
        <w:t xml:space="preserve"> </w:t>
      </w:r>
      <w:r>
        <w:t xml:space="preserve">efeitos aleatórios e 0,790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t xml:space="preserve">cutoff</w:t>
      </w:r>
      <w:r>
        <w:t xml:space="preserve"> </w:t>
      </w:r>
      <w:r>
        <w:t xml:space="preserve">de Youden (0,30), sensibilidade 0,82 e</w:t>
      </w:r>
      <w:r>
        <w:t xml:space="preserve"> </w:t>
      </w:r>
      <w:r>
        <w:t xml:space="preserve">especificidade 0,68.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a cerca de metade ao se acrescentar o vínculo (M3).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0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200.000 observações da PEA com renda positiva. 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qualidade de vida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48), ao passo que o do IBGE é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 </w:t>
      </w:r>
      <w:r>
        <w:t xml:space="preserve">log-ponto por ano,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por mínimos quadrados ponderados sobre 2016–2025; equivalente a cerca de 0,001 ponto de log-rendimento ao ano.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Data Science e Analytics – 2026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84" Type="http://schemas.openxmlformats.org/officeDocument/2006/relationships/image" Target="media/rId84.png"/><Relationship Id="rId62" Type="http://schemas.openxmlformats.org/officeDocument/2006/relationships/image" Target="media/rId62.png"/><Relationship Id="rId68" Type="http://schemas.openxmlformats.org/officeDocument/2006/relationships/image" Target="media/rId68.png"/><Relationship Id="rId75" Type="http://schemas.openxmlformats.org/officeDocument/2006/relationships/image" Target="media/rId75.png"/><Relationship Id="rId94" Type="http://schemas.openxmlformats.org/officeDocument/2006/relationships/image" Target="media/rId94.png"/><Relationship Id="rId39" Type="http://schemas.openxmlformats.org/officeDocument/2006/relationships/image" Target="media/rId39.png"/><Relationship Id="rId51" Type="http://schemas.openxmlformats.org/officeDocument/2006/relationships/image" Target="media/rId51.png"/><Relationship Id="rId56" Type="http://schemas.openxmlformats.org/officeDocument/2006/relationships/image" Target="media/rId56.png"/><Relationship Id="rId1" Type="http://schemas.openxmlformats.org/officeDocument/2006/relationships/header" Target="header2.xml"/><Relationship Id="rId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2026-09-28T15:58:16Z</dcterms:created>
  <dcterms:modified xsi:type="dcterms:W3CDTF">2026-09-28T15:58:16Z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