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 com rendimento positivo), integrando econometria multinível, decomposições do gap e aprendizado de máquina interpretável. Os resultados indicam que a discriminação opera em camadas: uma barreira de acesso a ocupações qualificadas (GLMM logístico com intercepto aleatório de bairro, OR=0,699) que se agrava no topo da distribuição (OR de acesso ao decil superior = 0,654) e uma penalidade salarial que persiste sob controle exaustivo. Do gap agregado de 19,1%, 47,0% é mediado pelo contexto de moradia (UPA), restando um gap líquido de 10,2% e 7,0% dentro da mesma ocupação; a decomposição de Oaxaca-Blinder atribui 28,4% do gap a retornos diferenciais quando a ocupação não é tratada como dotação, e 16,2% quando é — limite inferior, pois o acesso à ocupação é ele próprio desigual. A penalidade recai de forma agravada sobre a mulher negra, com efeito interseccional de +4,6 p.p. além da soma dos eixos de raça e de gênero.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de dois níveis para o logaritmo do rendimento — indivíduos aninhados em UPA, com a UF como conjunto de efeitos fixos, já que 27 unidades são poucas para um terceiro nível aleatório —, em estratégia step-up que decompõe o gap agregado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interseccionalidade — com forte mediação do território, que persiste mesmo quando se controla a escolaridade. As subseções a seguir percorrem esse sistema: partem da falha da explicação meritocrática e isolam as três camadas que a substituem.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72% do diferencial a diferenças de dotações e 28%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com a mesma escolaridade, sexo, idade, estado e bairro que um branco tem 30% menos chance de ocupar um cargo qualificado (OR=0,699; AME -5,5 p.p.). A barreira não é uniforme ao longo da hierarquia: ela se agrava no topo (Figura 2) — o odds ratio de acesso cai de 0,688 no quintil superior de renda para 0,654 no decil superior. É um teto de vidro de ACESSO: quanto mais valiosa a posição, mais opaco o filtro racial. O ICC de UPA no modelo nulo de acesso (19,8%)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1. GLMM logístico (M2, população completa) — teto de vidro de acesso. OR &lt; 1 = menor chance de acesso para negros vs. brancos de mesmo perfil; AME em pontos percentuais; E-value ≥ 2 indica robustez a confundidor não observado.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Desfecho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OR (negro)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AME (p.p.)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E-value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Cargo qualificado (CBO 1–4)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0,699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-5,5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2,21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20% de renda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0,688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-4,7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2,27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Top 10% de renda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0,654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-3,0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2,43</w:t>
            </w:r>
          </w:p>
        </w:tc>
      </w:tr>
    </w:tbl>
    <w:p>
      <w:pPr>
        <w:spacing w:after="160"/>
      </w:pP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74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 de teste 0,628):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2. Decomposição do gap por mediação (HLM de dois níveis — indivíduos em UPA, com efeitos fixos de UF; PNAD Contínua 2016–2025, população completa). Cada modelo acrescenta controles ao anterior; o gap encolhe de 19,1% (agregado) para 7,0% (M4), com 65,9% mediado por contexto de moradia e ocupação.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Modelo (controles acumulados)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β negro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(%)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Mediação acum. (%)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Agregado (individual + UF, sem bairro)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-0,2123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-19,1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M1 (+ intercepto aleatório de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-0,1124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-10,6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47,0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M2 (+ contexto da UPA)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-0,1076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-10,2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49,3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M3 (+ efeitos fixos de UF)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-0,1077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-10,2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49,3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M4 (+ ocupação e formalidade)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-0,0724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-7,0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65,9</w:t>
            </w:r>
          </w:p>
        </w:tc>
      </w:tr>
    </w:tbl>
    <w:p>
      <w:pPr>
        <w:spacing w:after="160"/>
      </w:pP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3. Decomposição de Oaxaca-Blinder em duas especificações (população completa; erros-padrão por bootstrap em blocos de UPA). Dotações + Retornos = 100% do gap. (A) trata apenas capital humano e contexto como dotações; (B) acrescenta ocupação, formalidade e jornada. Ressalva (Oaxaca &amp; Ransom, 1999): incluir a ocupação como dotação subestima a discriminação, pois a segregação ocupacional é ela própria discriminatória — daí a complementaridade com o GLMM de acesso (Tabela 1).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Componente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(A) sem ocupação (%)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(B) com ocupação (%)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Dotações — (A) capital humano e contexto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71,6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83,8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Retornos — parcela não explicada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28,4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16,2</w:t>
            </w:r>
          </w:p>
        </w:tc>
      </w:tr>
    </w:tbl>
    <w:p>
      <w:pPr>
        <w:spacing w:after="160"/>
      </w:pP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80,6% vs. o Homem Branco) e, além disso, uma penalidade EXTRA de 4,6 pontos percentuais que não se reduz à soma das penalidades de raça e de gênero isoladas — a marca da interseccionalidade (Crenshaw, 1989). A interação é sub-aditiva: o efeito próprio da combinação existe e é menor que o dobro das penalidades isoladas. As camadas reforçam-se mutuamente: a barreira de acesso e o eixo territorial pesam de modo desigual sobre os diferentes grupos.</w:t>
      </w:r>
    </w:p>
    <w:p>
      <w:pPr>
        <w:spacing w:before="160"/>
        <w:jc w:val="center"/>
      </w:pPr>
      <w:r>
        <w:rPr>
          <w:rFonts w:ascii="Times New Roman" w:hAnsi="Times New Roman"/>
          <w:b/>
          <w:sz w:val="20"/>
        </w:rPr>
        <w:t>Tabela 4. Decomposição interseccional (raça × gênero) do gap vs. o Homem Branco (população completa; erro-padrão por bootstrap em blocos de UPA). Dotações + Retornos = 100% do gap. A Mulher Negra acumula o maior gap (80,6%) e uma penalidade extra de 4,6 p.p. não redutível à soma dos eixos de raça e gênero (Crenshaw, 1989).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Grupo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Gap vs HB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Dotações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Retornos (%)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Penal. extra (p.p.)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Branca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19,7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-51,9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151,9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Homem Negro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56,3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73,9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26,1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—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Mulher Negra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80,6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35,3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64,7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4,6</w:t>
            </w:r>
          </w:p>
        </w:tc>
      </w:tr>
    </w:tbl>
    <w:p>
      <w:pPr>
        <w:spacing w:after="16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o GLMM logístico de acesso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dotações, e por isso as duas especificações são reportadas lado a lado: sem a ocupação, a parcela não explicada é 28,4%; com ela, 16,2%. Como alerta Oaxaca e Ransom (1999), tratar a ocupação como dotação tende a subestimar a discriminação total, já que a segregação ocupacional é, ela própria, discriminatória — a segunda leitura é, portanto, um limite inferior descritivo, e daí a complementaridade com o GLMM de acesso.</w:t>
      </w:r>
    </w:p>
    <w:p>
      <w:pPr>
        <w:ind w:firstLine="709"/>
        <w:jc w:val="both"/>
      </w:pPr>
      <w:r>
        <w:t>Bad controls. Pelo mesmo motivo, ocupação, formalidade e jornada são desfechos da própria discriminação (Angrist; Pischke, 2009, cap. 3). Os modelos que os incluem (M4 e a especificação B) são apresentados como limite inferior; os que não os incluem (M3 e a especificação A), como o gap condicional a capital humano e bairro.</w:t>
      </w:r>
    </w:p>
    <w:p>
      <w:pPr>
        <w:ind w:firstLine="709"/>
        <w:jc w:val="both"/>
      </w:pPr>
      <w:r>
        <w:t>Condicionamento em rendimento positivo. Todos os modelos de rendimento são estimados entre ocupados com renda positiva, o que é condicionar no desfecho. A direção provável do viés é de subestimação, caso os trabalhadores negros que permanecem ocupados sejam positivamente selecionados em atributos não observados; o GLMM de acesso trata diretamente a outra metade do problema.</w:t>
      </w:r>
    </w:p>
    <w:p>
      <w:pPr>
        <w:ind w:firstLine="709"/>
        <w:jc w:val="both"/>
      </w:pPr>
      <w:r>
        <w:t>Inferência. Como a PNAD amostra por conglomerados, todos os modelos reportam erro-padrão agrupado por UPA ou modelam o bairro como efeito aleatório; as decomposições usam bootstrap em blocos de UPA. No agrupamento por UF, com 27 clusters, usa-se t com G−1 graus de liberdade. As estimativas são não ponderadas — descrevem a regressão na amostra —, e a robustez ponderada pelo peso V1028 altera o gap em menos de meio ponto percentual.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convergem para a tese central: a desigualdade racial no trabalho brasileiro é um SISTEMA DE BARREIRAS EM CAMADAS — acesso, remuneração e interseccionalidade — com forte mediação do TERRITÓRIO: o contexto de moradia responde por 47,0% do gap agregado. Boa parte do diferencial é composição (Oaxaca-Blinder: 71,6% de dotações na especificação sem ocupação), mas a composição é ela mesma produto da discriminação no acesso às ocupações (GLMM: OR=0,699, com gradiente até 0,654 no decil superior) e convive com penalidade salarial que persiste sob controle exaustivo — 10,2% de gap líquido e 7,0% dentro da mesma ocupação — maior na base da distribuição em termos de retornos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