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A desigualdade racial operou em duas frentes que responderam de modo diferente à escolaridade: a penalidade salarial foi maior entre os menos escolarizados e pequena entre os pós-graduados, enquanto a desvantagem no acesso a cargos qualificados persistiu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diferencial racial de rendimentos;</w:t>
      </w:r>
      <w:r>
        <w:rPr>
          <w:rFonts w:ascii="Arial" w:hAnsi="Arial"/>
          <w:sz w:val="22"/>
        </w:rPr>
        <w:t xml:space="preserve"> </w:t>
      </w:r>
      <w:r>
        <w:rPr>
          <w:rFonts w:ascii="Arial" w:hAnsi="Arial"/>
          <w:sz w:val="22"/>
        </w:rPr>
        <w:t>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Racial inequality operated on two fronts that responded differently to schooling: the wage penalty was largest among the least educated and small among postgraduates, while the disadvantage in access to qualified jobs persisted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racial earnings gap; residential segregation; glass</w:t>
      </w:r>
      <w:r>
        <w:rPr>
          <w:rFonts w:ascii="Arial" w:hAnsi="Arial"/>
          <w:sz w:val="22"/>
        </w:rPr>
        <w:t xml:space="preserve"> </w:t>
      </w:r>
      <w:r>
        <w:rPr>
          <w:rFonts w:ascii="Arial" w:hAnsi="Arial"/>
          <w:sz w:val="22"/>
        </w:rPr>
        <w:t>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A</w:t>
      </w:r>
      <w:r>
        <w:rPr>
          <w:rFonts w:ascii="Arial" w:hAnsi="Arial"/>
          <w:sz w:val="22"/>
        </w:rPr>
        <w:t xml:space="preserve"> </w:t>
      </w:r>
      <w:r>
        <w:rPr>
          <w:rFonts w:ascii="Arial" w:hAnsi="Arial"/>
          <w:sz w:val="22"/>
        </w:rPr>
        <w:t>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ele é desvio moral de pessoas; na institucional, está nas regras e práticas das</w:t>
      </w:r>
      <w:r>
        <w:rPr>
          <w:rFonts w:ascii="Arial" w:hAnsi="Arial"/>
          <w:sz w:val="22"/>
        </w:rPr>
        <w:t xml:space="preserve"> </w:t>
      </w:r>
      <w:r>
        <w:rPr>
          <w:rFonts w:ascii="Arial" w:hAnsi="Arial"/>
          <w:sz w:val="22"/>
        </w:rPr>
        <w:t>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de igualadas as características individuais; a sua mediação por estruturas — o</w:t>
      </w:r>
      <w:r>
        <w:rPr>
          <w:rFonts w:ascii="Arial" w:hAnsi="Arial"/>
          <w:sz w:val="22"/>
        </w:rPr>
        <w:t xml:space="preserve"> </w:t>
      </w:r>
      <w:r>
        <w:rPr>
          <w:rFonts w:ascii="Arial" w:hAnsi="Arial"/>
          <w:sz w:val="22"/>
        </w:rPr>
        <w:t>bairro de moradia e a porta das ocupações; e a sua acumulação onde se decide a</w:t>
      </w:r>
      <w:r>
        <w:rPr>
          <w:rFonts w:ascii="Arial" w:hAnsi="Arial"/>
          <w:sz w:val="22"/>
        </w:rPr>
        <w:t xml:space="preserve"> </w:t>
      </w:r>
      <w:r>
        <w:rPr>
          <w:rFonts w:ascii="Arial" w:hAnsi="Arial"/>
          <w:sz w:val="22"/>
        </w:rPr>
        <w:t>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(Marques, 2010; Wilson, 1987; Sampson et al., 1997)</w:t>
      </w:r>
      <w:r>
        <w:rPr>
          <w:rFonts w:ascii="Arial" w:hAnsi="Arial"/>
          <w:sz w:val="22"/>
        </w:rPr>
        <w:t>;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mediada pelo bairro de moradia (H1); que a penalidade se agrava no topo da</w:t>
      </w:r>
      <w:r>
        <w:rPr>
          <w:rFonts w:ascii="Arial" w:hAnsi="Arial"/>
          <w:sz w:val="22"/>
        </w:rPr>
        <w:t xml:space="preserve"> </w:t>
      </w:r>
      <w:r>
        <w:rPr>
          <w:rFonts w:ascii="Arial" w:hAnsi="Arial"/>
          <w:sz w:val="22"/>
        </w:rPr>
        <w:t>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e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em módulo indicam desequilíbrio relevante. População completa da PEA com renda</w:t>
      </w:r>
      <w:r>
        <w:rPr>
          <w:rFonts w:ascii="Arial" w:hAnsi="Arial"/>
          <w:sz w:val="22"/>
        </w:rPr>
        <w:t xml:space="preserve"> </w:t>
      </w:r>
      <w:r>
        <w:rPr>
          <w:rFonts w:ascii="Arial" w:hAnsi="Arial"/>
          <w:sz w:val="22"/>
        </w:rPr>
        <w:t>positiva (</w:t>
      </w:r>
      <m:oMath>
        <m:r>
          <m:t>N</m:t>
        </m:r>
        <m:r>
          <m:rPr>
            <m:sty m:val="p"/>
          </m:rPr>
          <m:t>=</m:t>
        </m:r>
        <m:r>
          <m:t>7.699</m:t>
        </m:r>
        <m:r>
          <m:t>.278</m:t>
        </m:r>
      </m:oMath>
      <w:r>
        <w:rPr>
          <w:rFonts w:ascii="Arial" w:hAnsi="Arial"/>
          <w:sz w:val="22"/>
        </w:rPr>
        <w:t>;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97,2% das UPAs têm</w:t>
      </w:r>
      <w:r>
        <w:rPr>
          <w:rFonts w:ascii="Arial" w:hAnsi="Arial"/>
          <w:sz w:val="22"/>
        </w:rPr>
        <w:t xml:space="preserve"> </w:t>
      </w:r>
      <w:r>
        <w:rPr>
          <w:rFonts w:ascii="Arial" w:hAnsi="Arial"/>
          <w:sz w:val="22"/>
        </w:rPr>
        <w:t>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estão em células com os dois grupos) — a comparação não depende de extrapolar para</w:t>
      </w:r>
      <w:r>
        <w:rPr>
          <w:rFonts w:ascii="Arial" w:hAnsi="Arial"/>
          <w:sz w:val="22"/>
        </w:rPr>
        <w:t xml:space="preserve"> </w:t>
      </w:r>
      <w:r>
        <w:rPr>
          <w:rFonts w:ascii="Arial" w:hAnsi="Arial"/>
          <w:sz w:val="22"/>
        </w:rPr>
        <w:t>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e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 dado pelas eq. (1) e (2):</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 eq. (1):</w:t>
      </w:r>
    </w:p>
    <w:p>
      <w:pPr>
        <w:pStyle w:val="BodyText"/>
        <w:ind w:firstLine="0"/>
        <w:jc w:val="right"/>
      </w:p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sSub>
          <m:e>
            <m:r>
              <m:t>X</m:t>
            </m:r>
          </m:e>
          <m:sub>
            <m:r>
              <m:t>i</m:t>
            </m:r>
            <m:r>
              <m:t>j</m:t>
            </m:r>
          </m:sub>
        </m:sSub>
        <m:r>
          <m:rPr>
            <m:sty m:val="p"/>
          </m:rPr>
          <m:t>+</m:t>
        </m:r>
        <m:sSub>
          <m:e>
            <m:r>
              <m:t>β</m:t>
            </m:r>
          </m:e>
          <m:sub>
            <m:r>
              <m:t>4</m:t>
            </m:r>
          </m:sub>
        </m:sSub>
        <m:sSubSup>
          <m:e>
            <m:r>
              <m:t>X</m:t>
            </m:r>
          </m:e>
          <m:sub>
            <m:r>
              <m:t>i</m:t>
            </m:r>
            <m:r>
              <m:t>j</m:t>
            </m:r>
          </m:sub>
          <m:sup>
            <m:r>
              <m:t>2</m:t>
            </m:r>
          </m:sup>
        </m:sSubSup>
        <m:r>
          <m:rPr>
            <m:sty m:val="p"/>
          </m:rPr>
          <m:t>+</m:t>
        </m:r>
        <m:sSubSup>
          <m:e>
            <m:r>
              <m:rPr>
                <m:sty m:val="bi"/>
              </m:rPr>
              <m:t>β</m:t>
            </m:r>
          </m:e>
          <m:sub>
            <m:r>
              <m:t>E</m:t>
            </m:r>
          </m:sub>
          <m:sup>
            <m:r>
              <m:rPr>
                <m:sty m:val="p"/>
              </m:rPr>
              <m:t>′</m:t>
            </m:r>
          </m:sup>
        </m:sSubSup>
        <m:sSub>
          <m:e>
            <m:r>
              <m:rPr>
                <m:sty m:val="bi"/>
              </m:rPr>
              <m:t>E</m:t>
            </m:r>
          </m:e>
          <m:sub>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
        </m:r>
      </m:oMath>
      <w:r>
        <w:rPr>
          <w:rFonts w:ascii="Arial" w:hAnsi="Arial"/>
        </w:rPr>
        <w:t xml:space="preserve">   (1)</w:t>
      </w:r>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E</m:t>
        </m:r>
      </m:oMath>
      <w:r>
        <w:rPr>
          <w:rFonts w:ascii="Arial" w:hAnsi="Arial"/>
          <w:sz w:val="22"/>
        </w:rPr>
        <w:t xml:space="preserve"> </w:t>
      </w:r>
      <w:r>
        <w:rPr>
          <w:rFonts w:ascii="Arial" w:hAnsi="Arial"/>
          <w:sz w:val="22"/>
        </w:rPr>
        <w:t xml:space="preserve">reúne as variáveis indicadoras cumulativas de escolaridade,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 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 eq. (2):</w:t>
      </w:r>
    </w:p>
    <w:p>
      <w:pPr>
        <w:pStyle w:val="BodyText"/>
        <w:ind w:firstLine="0"/>
        <w:jc w:val="right"/>
      </w:p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
        </m:r>
      </m:oMath>
      <w:r>
        <w:rPr>
          <w:rFonts w:ascii="Arial" w:hAnsi="Arial"/>
        </w:rPr>
        <w:t xml:space="preserve">   (2)</w:t>
      </w:r>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e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e Bryk (2002)</w:t>
      </w:r>
      <w:r>
        <w:rPr>
          <w:rFonts w:ascii="Arial" w:hAnsi="Arial"/>
          <w:sz w:val="22"/>
        </w:rPr>
        <w:t xml:space="preserve">, os modelos</w:t>
      </w:r>
      <w:r>
        <w:rPr>
          <w:rFonts w:ascii="Arial" w:hAnsi="Arial"/>
          <w:sz w:val="22"/>
        </w:rPr>
        <w:t xml:space="preserve"> </w:t>
      </w:r>
      <w:r>
        <w:rPr>
          <w:rFonts w:ascii="Arial" w:hAnsi="Arial"/>
          <w:sz w:val="22"/>
        </w:rPr>
        <w:t>são estimados em degraus aninhados: M0 (nulo: só o intercepto aleatório, que dá o ICC);</w:t>
      </w:r>
      <w:r>
        <w:rPr>
          <w:rFonts w:ascii="Arial" w:hAnsi="Arial"/>
          <w:sz w:val="22"/>
        </w:rPr>
        <w:t xml:space="preserve"> </w:t>
      </w:r>
      <w:r>
        <w:rPr>
          <w:rFonts w:ascii="Arial" w:hAnsi="Arial"/>
          <w:sz w:val="22"/>
        </w:rPr>
        <w:t>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estimados por máxima verossimilhança [ML], necessária para comparar efeitos fixos entre</w:t>
      </w:r>
      <w:r>
        <w:rPr>
          <w:rFonts w:ascii="Arial" w:hAnsi="Arial"/>
          <w:sz w:val="22"/>
        </w:rPr>
        <w:t xml:space="preserve"> </w:t>
      </w:r>
      <w:r>
        <w:rPr>
          <w:rFonts w:ascii="Arial" w:hAnsi="Arial"/>
          <w:sz w:val="22"/>
        </w:rPr>
        <w:t>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Blinder (1973)</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e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et al.,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e Bryk, 2002)</w:t>
      </w:r>
      <w:r>
        <w:rPr>
          <w:rFonts w:ascii="Arial" w:hAnsi="Arial"/>
          <w:sz w:val="22"/>
        </w:rPr>
        <w:t>,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e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e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e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e Pischke, 2009)</w:t>
      </w:r>
      <w:r>
        <w:rPr>
          <w:rFonts w:ascii="Arial" w:hAnsi="Arial"/>
          <w:sz w:val="22"/>
        </w:rPr>
        <w:t>;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e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Cada linha traz o que foi</w:t>
      </w:r>
      <w:r>
        <w:rPr>
          <w:rFonts w:ascii="Arial" w:hAnsi="Arial"/>
          <w:sz w:val="22"/>
        </w:rPr>
        <w:t xml:space="preserve"> </w:t>
      </w:r>
      <w:r>
        <w:rPr>
          <w:rFonts w:ascii="Arial" w:hAnsi="Arial"/>
          <w:sz w:val="22"/>
        </w:rPr>
        <w:t xml:space="preserve">verificado, o resultado e a providência tomada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e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e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2"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3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bookmarkStart w:id="35" w:name="tab:hlm_resultados"/>
    <w:p>
      <w:pPr>
        <w:pStyle w:val="TableCaption"/>
        <w:keepNext/>
        <w:keepLines/>
        <w:spacing w:line="240" w:lineRule="auto" w:before="240" w:after="40"/>
        <w:ind w:firstLine="0"/>
        <w:jc w:val="both"/>
      </w:pPr>
      <w:r>
        <w:rPr>
          <w:rFonts w:ascii="Arial" w:hAnsi="Arial"/>
          <w:sz w:val="22"/>
        </w:rPr>
        <w:t xml:space="preserve">Tabela 3. HLM de dois níveis (indivíduo em UPA) com efeitos fixos de UF</w:t>
      </w:r>
    </w:p>
    <w:tbl>
      <w:tblPr>
        <w:tblStyle w:val="Table"/>
        <w:tblW w:type="auto" w:w="0"/>
        <w:tblLayout w:type="fixed"/>
        <w:tblLook w:firstRow="1" w:lastRow="0" w:firstColumn="0" w:lastColumn="0" w:noHBand="0" w:noVBand="0" w:val="0020"/>
        <w:tblCaption w:val="Tabela 3.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e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3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Estratégia</w:t>
      </w:r>
      <w:r>
        <w:rPr>
          <w:rFonts w:ascii="Arial" w:hAnsi="Arial"/>
          <w:sz w:val="22"/>
        </w:rPr>
        <w:t xml:space="preserve"> </w:t>
      </w:r>
      <w:r>
        <w:rPr>
          <w:rFonts w:ascii="Arial" w:hAnsi="Arial"/>
          <w:sz w:val="22"/>
        </w:rPr>
        <w:t>step-up</w:t>
      </w:r>
      <w:r>
        <w:rPr>
          <w:rFonts w:ascii="Arial" w:hAnsi="Arial"/>
          <w:sz w:val="22"/>
        </w:rPr>
        <w:t>, PNAD Contínua 2016–2025, população completa (</w:t>
      </w:r>
      <m:oMath>
        <m:r>
          <m:t>N</m:t>
        </m:r>
        <m:r>
          <m:rPr>
            <m:sty m:val="p"/>
          </m:rPr>
          <m:t>=</m:t>
        </m:r>
        <m:r>
          <m:t>7.694</m:t>
        </m:r>
        <m:r>
          <m:t>.080</m:t>
        </m:r>
      </m:oMath>
      <w:r>
        <w:rPr>
          <w:rFonts w:ascii="Arial" w:hAnsi="Arial"/>
          <w:sz w:val="22"/>
        </w:rPr>
        <w:t>;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w:t>
      </w:r>
      <w:r>
        <w:rPr>
          <w:rFonts w:ascii="Arial" w:hAnsi="Arial"/>
          <w:sz w:val="22"/>
        </w:rPr>
      </w:r>
      <w:r>
        <w:rPr>
          <w:rFonts w:ascii="Arial" w:hAnsi="Arial"/>
          <w:sz w:val="22"/>
        </w:rPr>
        <w:t>Inclinação aleatória de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por UPA (M3 +</w:t>
      </w:r>
      <w:r>
        <w:rPr>
          <w:rFonts w:ascii="Arial" w:hAnsi="Arial"/>
          <w:sz w:val="22"/>
        </w:rPr>
        <w:t xml:space="preserve"> </w:t>
      </w:r>
      <m:oMath>
        <m:sSub>
          <m:e>
            <m:r>
              <m:t>u</m:t>
            </m:r>
          </m:e>
          <m:sub>
            <m:r>
              <m:t>1</m:t>
            </m:r>
            <m:r>
              <m:t>j</m:t>
            </m:r>
          </m:sub>
        </m:sSub>
      </m:oMath>
      <w:r>
        <w:rPr>
          <w:rFonts w:ascii="Arial" w:hAnsi="Arial"/>
          <w:sz w:val="22"/>
        </w:rPr>
        <w:t>):</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(2 g.l.),</w:t>
      </w:r>
      <w:r>
        <w:rPr>
          <w:rFonts w:ascii="Arial" w:hAnsi="Arial"/>
          <w:sz w:val="22"/>
        </w:rPr>
        <w:t xml:space="preserve"> </w:t>
      </w:r>
      <m:oMath>
        <m:r>
          <m:t>p</m:t>
        </m:r>
        <m:r>
          <m:rPr>
            <m:sty m:val="p"/>
          </m:rPr>
          <m:t>&lt;</m:t>
        </m:r>
        <m:r>
          <m:t>0</m:t>
        </m:r>
        <m:r>
          <m:rPr>
            <m:sty m:val="p"/>
          </m:rPr>
          <m:t>,</m:t>
        </m:r>
        <m:r>
          <m:t>001</m:t>
        </m:r>
      </m:oMath>
      <w:r>
        <w:rPr>
          <w:rFonts w:ascii="Arial" w:hAnsi="Arial"/>
          <w:sz w:val="22"/>
        </w:rPr>
        <w:t>: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6"/>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e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7"/>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8"/>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9"/>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1"/>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r>
        <w:rPr>
          <w:rFonts w:ascii="Arial" w:hAnsi="Arial"/>
          <w:sz w:val="22"/>
        </w:rPr>
        <w:t xml:space="preserve"> </w:t>
      </w:r>
      <w:r>
        <w:rPr>
          <w:rFonts w:ascii="Arial" w:hAnsi="Arial"/>
          <w:sz w:val="22"/>
        </w:rPr>
        <w:t xml:space="preserve">(Tabela 4):</w:t>
      </w:r>
    </w:p>
    <w:bookmarkStart w:id="42" w:name="tab:simetria"/>
    <w:p>
      <w:pPr>
        <w:pStyle w:val="TableCaption"/>
        <w:keepNext/>
        <w:keepLines/>
        <w:spacing w:line="240" w:lineRule="auto" w:before="240" w:after="40"/>
        <w:ind w:firstLine="0"/>
        <w:jc w:val="both"/>
      </w:pPr>
      <w:r>
        <w:rPr>
          <w:rFonts w:ascii="Arial" w:hAnsi="Arial"/>
          <w:sz w:val="22"/>
        </w:rPr>
        <w:t xml:space="preserve">Tabela 4. Simetria dos controles entre os dois modelos</w:t>
      </w:r>
    </w:p>
    <w:tbl>
      <w:tblPr>
        <w:tblStyle w:val="Table"/>
        <w:tblW w:type="auto" w:w="0"/>
        <w:tblLayout w:type="fixed"/>
        <w:tblLook w:firstRow="1" w:lastRow="0" w:firstColumn="0" w:lastColumn="0" w:noHBand="0" w:noVBand="0" w:val="0020"/>
        <w:tblCaption w:val="Tabela 4.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3"/>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7" w:name="fig:hlm_blups"/>
    <w:p>
      <w:pPr>
        <w:pStyle w:val="CaptionedFigure"/>
        <w:keepNext/>
        <w:keepLines/>
      </w:pPr>
      <w:r>
        <w:rPr>
          <w:rFonts w:ascii="Arial" w:hAnsi="Arial"/>
          <w:sz w:val="22"/>
        </w:rPr>
        <w:drawing>
          <wp:inline>
            <wp:extent cx="5753100" cy="2525043"/>
            <wp:effectExtent b="0" l="0" r="0" t="0"/>
            <wp:docPr descr="" title="" id="45" name="Picture"/>
            <a:graphic>
              <a:graphicData uri="http://schemas.openxmlformats.org/drawingml/2006/picture">
                <pic:pic>
                  <pic:nvPicPr>
                    <pic:cNvPr descr="outputs/figures/hlm_efeitos_uf_blup_upa.png" id="46" name="Picture"/>
                    <pic:cNvPicPr>
                      <a:picLocks noChangeArrowheads="1" noChangeAspect="1"/>
                    </pic:cNvPicPr>
                  </pic:nvPicPr>
                  <pic:blipFill>
                    <a:blip r:embed="rId44"/>
                    <a:stretch>
                      <a:fillRect/>
                    </a:stretch>
                  </pic:blipFill>
                  <pic:spPr bwMode="auto">
                    <a:xfrm>
                      <a:off x="0" y="0"/>
                      <a:ext cx="5753100" cy="25250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No painel A, os</w:t>
      </w:r>
      <w:r>
        <w:rPr>
          <w:rFonts w:ascii="Arial" w:hAnsi="Arial"/>
          <w:sz w:val="22"/>
        </w:rPr>
        <w:t xml:space="preserve"> </w:t>
      </w:r>
      <w:r>
        <w:rPr>
          <w:rFonts w:ascii="Arial" w:hAnsi="Arial"/>
          <w:sz w:val="22"/>
        </w:rPr>
        <w:t>efeitos fixos de UF do M3 com IC 95% (referência: primeira UF); no painel B,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1: cada ponto no painel A é um estado;</w:t>
      </w:r>
      <w:r>
        <w:rPr>
          <w:rFonts w:ascii="Arial" w:hAnsi="Arial"/>
          <w:sz w:val="22"/>
        </w:rPr>
        <w:t xml:space="preserve"> </w:t>
      </w:r>
      <w:r>
        <w:rPr>
          <w:rFonts w:ascii="Arial" w:hAnsi="Arial"/>
          <w:sz w:val="22"/>
        </w:rPr>
        <w:t xml:space="preserve">a largura do histograma no painel B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1" w:name="fig:hlm_rs"/>
    <w:p>
      <w:pPr>
        <w:pStyle w:val="CaptionedFigure"/>
        <w:keepNext/>
        <w:keepLines/>
      </w:pPr>
      <w:r>
        <w:rPr>
          <w:rFonts w:ascii="Arial" w:hAnsi="Arial"/>
          <w:sz w:val="22"/>
        </w:rPr>
        <w:drawing>
          <wp:inline>
            <wp:extent cx="5753100" cy="2510443"/>
            <wp:effectExtent b="0" l="0" r="0" t="0"/>
            <wp:docPr descr="" title="" id="49" name="Picture"/>
            <a:graphic>
              <a:graphicData uri="http://schemas.openxmlformats.org/drawingml/2006/picture">
                <pic:pic>
                  <pic:nvPicPr>
                    <pic:cNvPr descr="outputs/figures/hlm_rs_retas_upa.png" id="50" name="Picture"/>
                    <pic:cNvPicPr>
                      <a:picLocks noChangeArrowheads="1" noChangeAspect="1"/>
                    </pic:cNvPicPr>
                  </pic:nvPicPr>
                  <pic:blipFill>
                    <a:blip r:embed="rId48"/>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no painel A, a reta ajustada</w:t>
      </w:r>
      <w:r>
        <w:rPr>
          <w:rFonts w:ascii="Arial" w:hAnsi="Arial"/>
          <w:sz w:val="22"/>
        </w:rPr>
        <w:t xml:space="preserve"> </w:t>
      </w:r>
      <w:r>
        <w:rPr>
          <w:rFonts w:ascii="Arial" w:hAnsi="Arial"/>
          <w:sz w:val="22"/>
        </w:rPr>
        <w:t>de cada bairro (amostra de 250 UPAs com brancos e negros) e, em azul, a média; no painel B,</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no painel 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No painel B,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e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pelo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8)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End w:id="52"/>
    <w:bookmarkStart w:id="58"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3"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(HLM de dois níveis, indivíduos em UPA, com efeitos fixos de UF; PNAD Contínua</w:t>
      </w:r>
      <w:r>
        <w:rPr>
          <w:rFonts w:ascii="Arial" w:hAnsi="Arial"/>
          <w:sz w:val="22"/>
        </w:rPr>
        <w:t xml:space="preserve"> </w:t>
      </w:r>
      <w:r>
        <w:rPr>
          <w:rFonts w:ascii="Arial" w:hAnsi="Arial"/>
          <w:sz w:val="22"/>
        </w:rPr>
        <w:t>2016–2025, população completa)</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é a penalidade racial em log-rendimento (mais próximo de zero = menor gap);</w:t>
      </w:r>
      <w:r>
        <w:rPr>
          <w:rFonts w:ascii="Arial" w:hAnsi="Arial"/>
          <w:sz w:val="22"/>
        </w:rPr>
        <w:t xml:space="preserve"> </w:t>
      </w:r>
      <w:r>
        <w:rPr>
          <w:rFonts w:ascii="Arial" w:hAnsi="Arial"/>
          <w:sz w:val="22"/>
        </w:rPr>
        <w:t>“Gap (%)”</w:t>
      </w:r>
      <w:r>
        <w:rPr>
          <w:rFonts w:ascii="Arial" w:hAnsi="Arial"/>
          <w:sz w:val="22"/>
        </w:rPr>
        <w:t xml:space="preserve"> </w:t>
      </w:r>
      <w:r>
        <w:rPr>
          <w:rFonts w:ascii="Arial" w:hAnsi="Arial"/>
          <w:sz w:val="22"/>
        </w:rPr>
        <w:t>é a</w:t>
      </w:r>
      <w:r>
        <w:rPr>
          <w:rFonts w:ascii="Arial" w:hAnsi="Arial"/>
          <w:sz w:val="22"/>
        </w:rPr>
        <w:t xml:space="preserve"> </w:t>
      </w:r>
      <w:r>
        <w:rPr>
          <w:rFonts w:ascii="Arial" w:hAnsi="Arial"/>
          <w:sz w:val="22"/>
        </w:rPr>
        <w:t>penalidade em % de renda;</w:t>
      </w:r>
      <w:r>
        <w:rPr>
          <w:rFonts w:ascii="Arial" w:hAnsi="Arial"/>
          <w:sz w:val="22"/>
        </w:rPr>
        <w:t xml:space="preserve"> </w:t>
      </w:r>
      <w:r>
        <w:rPr>
          <w:rFonts w:ascii="Arial" w:hAnsi="Arial"/>
          <w:sz w:val="22"/>
        </w:rPr>
        <w:t>“Mediação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w:t>
      </w:r>
      <w:r>
        <w:rPr>
          <w:rFonts w:ascii="Arial" w:hAnsi="Arial"/>
          <w:sz w:val="22"/>
        </w:rPr>
        <w:t>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3 resume a sequência de degraus em barras.</w:t>
      </w:r>
    </w:p>
    <w:bookmarkStart w:id="57" w:name="fig:hlm_gap"/>
    <w:p>
      <w:pPr>
        <w:pStyle w:val="CaptionedFigure"/>
        <w:keepNext/>
        <w:keepLines/>
      </w:pPr>
      <w:r>
        <w:rPr>
          <w:rFonts w:ascii="Arial" w:hAnsi="Arial"/>
          <w:sz w:val="22"/>
        </w:rPr>
        <w:drawing>
          <wp:inline>
            <wp:extent cx="5292852" cy="2089283"/>
            <wp:effectExtent b="0" l="0" r="0" t="0"/>
            <wp:docPr descr="" title="" id="55" name="Picture"/>
            <a:graphic>
              <a:graphicData uri="http://schemas.openxmlformats.org/drawingml/2006/picture">
                <pic:pic>
                  <pic:nvPicPr>
                    <pic:cNvPr descr="outputs/figures/fig_hlm_gap.png" id="56" name="Picture"/>
                    <pic:cNvPicPr>
                      <a:picLocks noChangeArrowheads="1" noChangeAspect="1"/>
                    </pic:cNvPicPr>
                  </pic:nvPicPr>
                  <pic:blipFill>
                    <a:blip r:embed="rId54"/>
                    <a:stretch>
                      <a:fillRect/>
                    </a:stretch>
                  </pic:blipFill>
                  <pic:spPr bwMode="auto">
                    <a:xfrm>
                      <a:off x="0" y="0"/>
                      <a:ext cx="5292852" cy="208928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de milhões);</w:t>
      </w:r>
      <w:r>
        <w:rPr>
          <w:rFonts w:ascii="Arial" w:hAnsi="Arial"/>
          <w:sz w:val="22"/>
        </w:rPr>
        <w:t xml:space="preserve"> </w:t>
      </w:r>
      <w:r>
        <w:rPr>
          <w:rFonts w:ascii="Arial" w:hAnsi="Arial"/>
          <w:sz w:val="22"/>
        </w:rPr>
        <w:t xml:space="preserve">rótulo: gap em % de renda. Em azul, o M3 (gap líquido)</w:t>
      </w:r>
    </w:p>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3: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58"/>
    <w:bookmarkStart w:id="64"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bookmarkStart w:id="59"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e Ransom, 1999) (ver o GLMM de acesso, Tabela 8).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5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Capital humano +</w:t>
      </w:r>
      <w:r>
        <w:rPr>
          <w:rFonts w:ascii="Arial" w:hAnsi="Arial"/>
          <w:sz w:val="22"/>
        </w:rPr>
        <w:t xml:space="preserve"> </w:t>
      </w:r>
      <w:r>
        <w:rPr>
          <w:rFonts w:ascii="Arial" w:hAnsi="Arial"/>
          <w:sz w:val="22"/>
        </w:rPr>
        <w:t>contexto</w:t>
      </w:r>
      <w:r>
        <w:rPr>
          <w:rFonts w:ascii="Arial" w:hAnsi="Arial"/>
          <w:sz w:val="22"/>
        </w:rPr>
        <w:t>: escolaridade, idade, sexo, jornada, área urbana, contexto de UPA e efeitos fixos</w:t>
      </w:r>
      <w:r>
        <w:rPr>
          <w:rFonts w:ascii="Arial" w:hAnsi="Arial"/>
          <w:sz w:val="22"/>
        </w:rPr>
        <w:t xml:space="preserve"> </w:t>
      </w:r>
      <w:r>
        <w:rPr>
          <w:rFonts w:ascii="Arial" w:hAnsi="Arial"/>
          <w:sz w:val="22"/>
        </w:rPr>
        <w:t>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Acesso</w:t>
      </w:r>
      <w:r>
        <w:rPr>
          <w:rFonts w:ascii="Arial" w:hAnsi="Arial"/>
          <w:sz w:val="22"/>
        </w:rPr>
        <w:t>: (A) + formalidade e grupo CBO tratados como dotações (os controles do M4) — a parcela não explicada é a discriminação</w:t>
      </w:r>
      <w:r>
        <w:rPr>
          <w:rFonts w:ascii="Arial" w:hAnsi="Arial"/>
          <w:sz w:val="22"/>
        </w:rPr>
        <w:t xml:space="preserve"> </w:t>
      </w:r>
      <w:r>
        <w:rPr>
          <w:rFonts w:ascii="Arial" w:hAnsi="Arial"/>
          <w:sz w:val="22"/>
        </w:rPr>
        <w:t>dentro</w:t>
      </w:r>
      <w:r>
        <w:rPr>
          <w:rFonts w:ascii="Arial" w:hAnsi="Arial"/>
          <w:sz w:val="22"/>
        </w:rPr>
        <w:t xml:space="preserve"> </w:t>
      </w:r>
      <w:r>
        <w:rPr>
          <w:rFonts w:ascii="Arial" w:hAnsi="Arial"/>
          <w:sz w:val="22"/>
        </w:rPr>
        <w:t>da ocupação, um limite inferior, pois a segregação ocupacional é ela própria</w:t>
      </w:r>
      <w:r>
        <w:rPr>
          <w:rFonts w:ascii="Arial" w:hAnsi="Arial"/>
          <w:sz w:val="22"/>
        </w:rPr>
        <w:t xml:space="preserve"> </w:t>
      </w:r>
      <w:r>
        <w:rPr>
          <w:rFonts w:ascii="Arial" w:hAnsi="Arial"/>
          <w:sz w:val="22"/>
        </w:rPr>
        <w:t>discriminatória</w:t>
      </w:r>
      <w:r>
        <w:rPr>
          <w:rFonts w:ascii="Arial" w:hAnsi="Arial"/>
          <w:sz w:val="22"/>
        </w:rPr>
        <w:t xml:space="preserve"> </w:t>
      </w:r>
      <w:r>
        <w:rPr>
          <w:rFonts w:ascii="Arial" w:hAnsi="Arial"/>
          <w:sz w:val="22"/>
        </w:rPr>
        <w:t>(Oaxaca e Ransom, 1999)</w:t>
      </w:r>
      <w:r>
        <w:rPr>
          <w:rFonts w:ascii="Arial" w:hAnsi="Arial"/>
          <w:sz w:val="22"/>
        </w:rPr>
        <w:t xml:space="preserve"> </w:t>
      </w:r>
      <w:r>
        <w:rPr>
          <w:rFonts w:ascii="Arial" w:hAnsi="Arial"/>
          <w:sz w:val="22"/>
        </w:rPr>
        <w:t>(ver o GLMM de acesso, Tabela 8).</w:t>
      </w:r>
      <w:r>
        <w:rPr>
          <w:rFonts w:ascii="Arial" w:hAnsi="Arial"/>
          <w:sz w:val="22"/>
        </w:rPr>
        <w:t xml:space="preserve"> </w:t>
      </w:r>
      <w:r>
        <w:rPr>
          <w:rFonts w:ascii="Arial" w:hAnsi="Arial"/>
          <w:sz w:val="22"/>
        </w:rPr>
        <w:t>População completa da PEA com renda positiva (</w:t>
      </w:r>
      <m:oMath>
        <m:r>
          <m:t>N</m:t>
        </m:r>
        <m:r>
          <m:rPr>
            <m:sty m:val="p"/>
          </m:rPr>
          <m:t>=</m:t>
        </m:r>
        <m:r>
          <m:t>7.699</m:t>
        </m:r>
        <m:r>
          <m:t>.278</m:t>
        </m:r>
      </m:oMath>
      <w:r>
        <w:rPr>
          <w:rFonts w:ascii="Arial" w:hAnsi="Arial"/>
          <w:sz w:val="22"/>
        </w:rPr>
        <w:t>; 41.459 UPAs).</w:t>
      </w:r>
      <w:r>
        <w:rPr>
          <w:rFonts w:ascii="Arial" w:hAnsi="Arial"/>
          <w:sz w:val="22"/>
        </w:rPr>
        <w:t xml:space="preserve"> </w:t>
      </w:r>
      <w:r>
        <w:rPr>
          <w:rFonts w:ascii="Arial" w:hAnsi="Arial"/>
          <w:sz w:val="22"/>
        </w:rPr>
        <w:t>Erros-padrão entre parênteses: bootstrap em blocos por UPA (500 réplicas)</w:t>
      </w:r>
      <w:r>
        <w:rPr>
          <w:rFonts w:ascii="Arial" w:hAnsi="Arial"/>
          <w:sz w:val="22"/>
        </w:rPr>
        <w:t xml:space="preserve"/>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e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e Pischke, 2009)</w:t>
      </w:r>
      <w:r>
        <w:rPr>
          <w:rFonts w:ascii="Arial" w:hAnsi="Arial"/>
          <w:sz w:val="22"/>
        </w:rPr>
        <w:t xml:space="preserve">.</w:t>
      </w:r>
    </w:p>
    <w:p>
      <w:pPr>
        <w:pStyle w:val="BodyText"/>
        <w:spacing w:line="360" w:lineRule="auto" w:after="0"/>
        <w:ind w:firstLine="709"/>
        <w:jc w:val="both"/>
      </w:pPr>
      <w:r>
        <w:rPr>
          <w:rFonts w:ascii="Arial" w:hAnsi="Arial"/>
          <w:sz w:val="22"/>
        </w:rPr>
        <w:t xml:space="preserve">A Figura 4 apresenta as duas especificações em forma de cascata.</w:t>
      </w:r>
    </w:p>
    <w:bookmarkStart w:id="63" w:name="fig:ob_cascata"/>
    <w:p>
      <w:pPr>
        <w:pStyle w:val="CaptionedFigure"/>
        <w:keepNext/>
        <w:keepLines/>
      </w:pPr>
      <w:r>
        <w:rPr>
          <w:rFonts w:ascii="Arial" w:hAnsi="Arial"/>
          <w:sz w:val="22"/>
        </w:rPr>
        <w:drawing>
          <wp:inline>
            <wp:extent cx="5465445" cy="1713149"/>
            <wp:effectExtent b="0" l="0" r="0" t="0"/>
            <wp:docPr descr="" title="" id="61" name="Picture"/>
            <a:graphic>
              <a:graphicData uri="http://schemas.openxmlformats.org/drawingml/2006/picture">
                <pic:pic>
                  <pic:nvPicPr>
                    <pic:cNvPr descr="outputs/figures/fig_ob_cascata.png" id="62" name="Picture"/>
                    <pic:cNvPicPr>
                      <a:picLocks noChangeArrowheads="1" noChangeAspect="1"/>
                    </pic:cNvPicPr>
                  </pic:nvPicPr>
                  <pic:blipFill>
                    <a:blip r:embed="rId60"/>
                    <a:stretch>
                      <a:fillRect/>
                    </a:stretch>
                  </pic:blipFill>
                  <pic:spPr bwMode="auto">
                    <a:xfrm>
                      <a:off x="0" y="0"/>
                      <a:ext cx="5465445" cy="171314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opera na porta de entrada das ocupações — medida diretamente pelo modelo de acesso. O painel A traz a especificação A, sem ocupação; o painel B, a especificação B, com ocupação e vínculo</w:t>
      </w:r>
    </w:p>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4: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4"/>
    <w:bookmarkStart w:id="76"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A decomposição mostrou que parte do diferencial opera na entrada das ocupações; o modelo de acesso mede essa porta diretamente.</w:t>
      </w:r>
      <w:r>
        <w:rPr>
          <w:rFonts w:ascii="Arial" w:hAnsi="Arial"/>
          <w:sz w:val="22"/>
        </w:rPr>
        <w:t xml:space="preserve"> </w:t>
      </w:r>
      <w:bookmarkStart w:id="65" w:name="subsec:glmm_resultados"/>
      <w:bookmarkEnd w:id="65"/>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de UF; o ajuste e a classificação de cada degrau estão na Tabela 7.</w:t>
      </w:r>
      <w:r>
        <w:rPr>
          <w:rStyle w:val="FootnoteReference"/>
          <w:rFonts w:ascii="Arial" w:hAnsi="Arial"/>
          <w:sz w:val="22"/>
          <w:vertAlign w:val="superscript"/>
        </w:rPr>
        <w:footnoteReference w:id="66"/>
      </w:r>
    </w:p>
    <w:bookmarkStart w:id="67" w:name="tab:glmm_ajuste"/>
    <w:p>
      <w:pPr>
        <w:pStyle w:val="TableCaption"/>
        <w:keepNext/>
        <w:keepLines/>
        <w:spacing w:line="240" w:lineRule="auto" w:before="240" w:after="40"/>
        <w:ind w:firstLine="0"/>
        <w:jc w:val="both"/>
      </w:pPr>
      <w:r>
        <w:rPr>
          <w:rFonts w:ascii="Arial" w:hAnsi="Arial"/>
          <w:sz w:val="22"/>
        </w:rPr>
        <w:t xml:space="preserve">Tabela 7. GLMM logístico — ajuste e desempenho de classificação por degrau</w:t>
      </w:r>
    </w:p>
    <w:tbl>
      <w:tblPr>
        <w:tblStyle w:val="Table"/>
        <w:tblW w:type="auto" w:w="0"/>
        <w:tblLayout w:type="fixed"/>
        <w:tblLook w:firstRow="1" w:lastRow="0" w:firstColumn="0" w:lastColumn="0" w:noHBand="0" w:noVBand="0" w:val="0020"/>
        <w:tblCaption w:val="Tabela 7.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8.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AUC com efeitos aleatórios (ajuste na amostra) e só com efeitos fixos;</w:t>
      </w:r>
      <w:r>
        <w:rPr>
          <w:rFonts w:ascii="Arial" w:hAnsi="Arial"/>
          <w:sz w:val="22"/>
        </w:rPr>
        <w:t xml:space="preserve"> </w:t>
      </w:r>
      <w:r>
        <w:rPr>
          <w:rFonts w:ascii="Arial" w:hAnsi="Arial"/>
          <w:sz w:val="22"/>
        </w:rPr>
        <w:t>cutoff</w:t>
      </w:r>
      <w:r>
        <w:rPr>
          <w:rFonts w:ascii="Arial" w:hAnsi="Arial"/>
          <w:sz w:val="22"/>
        </w:rPr>
        <w:t xml:space="preserve"> </w:t>
      </w:r>
      <w:r>
        <w:rPr>
          <w:rFonts w:ascii="Arial" w:hAnsi="Arial"/>
          <w:sz w:val="22"/>
        </w:rPr>
        <w:t>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8</w:t>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68"/>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69"/>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e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5 reúne as razões</w:t>
      </w:r>
      <w:r>
        <w:rPr>
          <w:rFonts w:ascii="Arial" w:hAnsi="Arial"/>
          <w:sz w:val="22"/>
        </w:rPr>
        <w:t xml:space="preserve"> </w:t>
      </w:r>
      <w:r>
        <w:rPr>
          <w:rFonts w:ascii="Arial" w:hAnsi="Arial"/>
          <w:sz w:val="22"/>
        </w:rPr>
        <w:t xml:space="preserve">de chance dos três desfechos e dos modelos de cada um.</w:t>
      </w:r>
    </w:p>
    <w:bookmarkStart w:id="73" w:name="fig:glmm_or"/>
    <w:p>
      <w:pPr>
        <w:pStyle w:val="CaptionedFigure"/>
        <w:keepNext/>
        <w:keepLines/>
      </w:pPr>
      <w:r>
        <w:rPr>
          <w:rFonts w:ascii="Arial" w:hAnsi="Arial"/>
          <w:sz w:val="22"/>
        </w:rPr>
        <w:drawing>
          <wp:inline>
            <wp:extent cx="5465445" cy="1993096"/>
            <wp:effectExtent b="0" l="0" r="0" t="0"/>
            <wp:docPr descr="" title="" id="71" name="Picture"/>
            <a:graphic>
              <a:graphicData uri="http://schemas.openxmlformats.org/drawingml/2006/picture">
                <pic:pic>
                  <pic:nvPicPr>
                    <pic:cNvPr descr="outputs/figures/fig_glmm_or.png" id="72" name="Picture"/>
                    <pic:cNvPicPr>
                      <a:picLocks noChangeArrowheads="1" noChangeAspect="1"/>
                    </pic:cNvPicPr>
                  </pic:nvPicPr>
                  <pic:blipFill>
                    <a:blip r:embed="rId70"/>
                    <a:stretch>
                      <a:fillRect/>
                    </a:stretch>
                  </pic:blipFill>
                  <pic:spPr bwMode="auto">
                    <a:xfrm>
                      <a:off x="0" y="0"/>
                      <a:ext cx="5465445" cy="1993096"/>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IC 95%, por desfecho e degrau; em azul, o modelo com contexto de bairro (A2)</w:t>
      </w:r>
    </w:p>
    <w:bookmarkEnd w:id="7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5: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4"/>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Tabela 8)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5" w:name="tab:glmm_glassceil"/>
    <w:p>
      <w:pPr>
        <w:pStyle w:val="TableCaption"/>
        <w:keepNext/>
        <w:keepLines/>
        <w:spacing w:line="240" w:lineRule="auto" w:before="240" w:after="40"/>
        <w:ind w:firstLine="0"/>
        <w:jc w:val="both"/>
      </w:pPr>
      <w:r>
        <w:rPr>
          <w:rFonts w:ascii="Arial" w:hAnsi="Arial"/>
          <w:sz w:val="22"/>
        </w:rPr>
        <w:t xml:space="preserve">Tabela 8.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8.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Odds ratio</w:t>
      </w:r>
      <w:r>
        <w:rPr>
          <w:rFonts w:ascii="Arial" w:hAnsi="Arial"/>
          <w:sz w:val="22"/>
        </w:rPr>
        <w:t xml:space="preserve"> </w:t>
      </w:r>
      <w:r>
        <w:rPr>
          <w:rFonts w:ascii="Arial" w:hAnsi="Arial"/>
          <w:sz w:val="22"/>
        </w:rPr>
        <w:t>do coeficiente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e E-value</w:t>
      </w:r>
      <w:r>
        <w:rPr>
          <w:rFonts w:ascii="Arial" w:hAnsi="Arial"/>
          <w:sz w:val="22"/>
        </w:rPr>
        <w:t xml:space="preserve"> </w:t>
      </w:r>
      <w:r>
        <w:rPr>
          <w:rFonts w:ascii="Arial" w:hAnsi="Arial"/>
          <w:sz w:val="22"/>
        </w:rPr>
        <w:t>(VanderWeele e Ding, 2017)</w:t>
      </w:r>
      <w:r>
        <w:rPr>
          <w:rFonts w:ascii="Arial" w:hAnsi="Arial"/>
          <w:sz w:val="22"/>
        </w:rPr>
        <w:t>.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w:t>
      </w:r>
      <w:r>
        <w:rPr>
          <w:rFonts w:ascii="Arial" w:hAnsi="Arial"/>
          <w:sz w:val="22"/>
        </w:rPr>
        <w:t>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menor chance de acesso para trabalhadores negros do que para brancos de mesmo perfil</w:t>
      </w:r>
      <w:r>
        <w:rPr>
          <w:rFonts w:ascii="Arial" w:hAnsi="Arial"/>
          <w:sz w:val="22"/>
        </w:rPr>
        <w:t xml:space="preserve"> </w:t>
      </w:r>
      <w:r>
        <w:rPr>
          <w:rFonts w:ascii="Arial" w:hAnsi="Arial"/>
          <w:sz w:val="22"/>
        </w:rPr>
        <w:t>e do mesmo bairro</w:t>
      </w:r>
      <w:r>
        <w:rPr>
          <w:rFonts w:ascii="Arial" w:hAnsi="Arial"/>
          <w:sz w:val="22"/>
        </w:rPr>
        <w:t>;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e</w:t>
      </w:r>
      <w:r>
        <w:rPr>
          <w:rFonts w:ascii="Arial" w:hAnsi="Arial"/>
          <w:sz w:val="22"/>
        </w:rPr>
        <w:t xml:space="preserve"> </w:t>
      </w:r>
      <w:r>
        <w:rPr>
          <w:rFonts w:ascii="Arial" w:hAnsi="Arial"/>
          <w:sz w:val="22"/>
        </w:rPr>
        <w:t xml:space="preserve">com o desfecho para anular o OR; o E-value (IC) faz o mesmo para o limite do intervalo</w:t>
      </w:r>
    </w:p>
    <w:bookmarkEnd w:id="76"/>
    <w:bookmarkStart w:id="84"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77" w:name="subsec:qr_rif"/>
      <w:bookmarkEnd w:id="77"/>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10</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pessoas de mesmo perfil); a</w:t>
      </w:r>
      <w:r>
        <w:rPr>
          <w:rFonts w:ascii="Arial" w:hAnsi="Arial"/>
          <w:sz w:val="22"/>
        </w:rPr>
        <w:t xml:space="preserve"> </w:t>
      </w:r>
      <w:r>
        <w:rPr>
          <w:rFonts w:ascii="Arial" w:hAnsi="Arial"/>
          <w:sz w:val="22"/>
        </w:rPr>
        <w:t xml:space="preserve">Tabela 9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9,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bookmarkStart w:id="78" w:name="tab:rif_ob"/>
    <w:p>
      <w:pPr>
        <w:pStyle w:val="TableCaption"/>
        <w:keepNext/>
        <w:keepLines/>
        <w:spacing w:line="240" w:lineRule="auto" w:before="240" w:after="40"/>
        <w:ind w:firstLine="0"/>
        <w:jc w:val="both"/>
      </w:pPr>
      <w:r>
        <w:rPr>
          <w:rFonts w:ascii="Arial" w:hAnsi="Arial"/>
          <w:sz w:val="22"/>
        </w:rPr>
        <w:t xml:space="preserve">Tabela 9. Decomposição RIF-OB</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9. Decomposição RIF-OB (Firpo et al.,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(Referência: estrutura de preços</w:t>
      </w:r>
      <w:r>
        <w:rPr>
          <w:rFonts w:ascii="Arial" w:hAnsi="Arial"/>
          <w:sz w:val="22"/>
        </w:rPr>
        <w:t xml:space="preserve"> </w:t>
      </w:r>
      <w:r>
        <w:rPr>
          <w:rFonts w:ascii="Arial" w:hAnsi="Arial"/>
          <w:sz w:val="22"/>
        </w:rPr>
        <w:t>dos brancos)</w:t>
      </w:r>
      <w:r>
        <w:rPr>
          <w:rFonts w:ascii="Arial" w:hAnsi="Arial"/>
          <w:sz w:val="22"/>
        </w:rPr>
        <w:t xml:space="preserve">. </w:t>
      </w:r>
      <w:r>
        <w:rPr>
          <w:rFonts w:ascii="Arial" w:hAnsi="Arial"/>
          <w:sz w:val="22"/>
        </w:rPr>
        <w:t>Mesmos controles da decomposição de Oaxaca–Blinder sem ocupação (escolaridade,</w:t>
      </w:r>
      <w:r>
        <w:rPr>
          <w:rFonts w:ascii="Arial" w:hAnsi="Arial"/>
          <w:sz w:val="22"/>
        </w:rPr>
        <w:t xml:space="preserve"> </w:t>
      </w:r>
      <w:r>
        <w:rPr>
          <w:rFonts w:ascii="Arial" w:hAnsi="Arial"/>
          <w:sz w:val="22"/>
        </w:rPr>
        <w:t>idade, sexo, jornada, área urbana, ano e contexto do bairro), mais efeitos fixos de UF; a ocupação</w:t>
      </w:r>
      <w:r>
        <w:rPr>
          <w:rFonts w:ascii="Arial" w:hAnsi="Arial"/>
          <w:sz w:val="22"/>
        </w:rPr>
        <w:t xml:space="preserve"> </w:t>
      </w:r>
      <w:r>
        <w:rPr>
          <w:rFonts w:ascii="Arial" w:hAnsi="Arial"/>
          <w:sz w:val="22"/>
        </w:rPr>
        <w:t>não</w:t>
      </w:r>
      <w:r>
        <w:rPr>
          <w:rFonts w:ascii="Arial" w:hAnsi="Arial"/>
          <w:sz w:val="22"/>
        </w:rPr>
        <w:t xml:space="preserve"> </w:t>
      </w:r>
      <w:r>
        <w:rPr>
          <w:rFonts w:ascii="Arial" w:hAnsi="Arial"/>
          <w:sz w:val="22"/>
        </w:rPr>
        <w:t>entra.</w:t>
      </w:r>
      <w:r>
        <w:rPr>
          <w:rFonts w:ascii="Arial" w:hAnsi="Arial"/>
          <w:sz w:val="22"/>
        </w:rPr>
        <w:t xml:space="preserve"> </w:t>
      </w:r>
      <w:r>
        <w:rPr>
          <w:rFonts w:ascii="Arial" w:hAnsi="Arial"/>
          <w:sz w:val="22"/>
        </w:rPr>
        <w:t>Dotações: diferença de características observáveis. Retornos: parcela não explicada, que</w:t>
      </w:r>
      <w:r>
        <w:rPr>
          <w:rFonts w:ascii="Arial" w:hAnsi="Arial"/>
          <w:sz w:val="22"/>
        </w:rPr>
        <w:t xml:space="preserve"> </w:t>
      </w:r>
      <w:r>
        <w:rPr>
          <w:rFonts w:ascii="Arial" w:hAnsi="Arial"/>
          <w:sz w:val="22"/>
        </w:rPr>
        <w:t>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do gap RIF</w:t>
      </w:r>
      <w:r>
        <w:rPr>
          <w:rFonts w:ascii="Arial" w:hAnsi="Arial"/>
          <w:sz w:val="22"/>
        </w:rPr>
        <w:t xml:space="preserve"> </w:t>
      </w:r>
      <w:r>
        <w:rPr>
          <w:rFonts w:ascii="Arial" w:hAnsi="Arial"/>
          <w:sz w:val="22"/>
        </w:rPr>
        <w:t>— que é o gap decomposto pelo</w:t>
      </w:r>
      <w:r>
        <w:rPr>
          <w:rFonts w:ascii="Arial" w:hAnsi="Arial"/>
          <w:sz w:val="22"/>
        </w:rPr>
        <w:t xml:space="preserve"> </w:t>
      </w:r>
      <w:r>
        <w:rPr>
          <w:rFonts w:ascii="Arial" w:hAnsi="Arial"/>
          <w:sz w:val="22"/>
        </w:rPr>
        <w:t>método e difere do gap observado da segunda coluna; as porcentagens</w:t>
      </w:r>
      <w:r>
        <w:rPr>
          <w:rFonts w:ascii="Arial" w:hAnsi="Arial"/>
          <w:sz w:val="22"/>
        </w:rPr>
        <w:t xml:space="preserve"> </w:t>
      </w:r>
      <w:r>
        <w:rPr>
          <w:rFonts w:ascii="Arial" w:hAnsi="Arial"/>
          <w:sz w:val="22"/>
        </w:rPr>
        <w:t xml:space="preserve">são fração daquele, não deste. </w:t>
      </w:r>
      <w:r>
        <w:rPr>
          <w:rFonts w:ascii="Arial" w:hAnsi="Arial"/>
          <w:sz w:val="22"/>
        </w:rPr>
        <w:t>PNAD Contínua 2016–2025,</w:t>
      </w:r>
      <w:r>
        <w:rPr>
          <w:rFonts w:ascii="Arial" w:hAnsi="Arial"/>
          <w:sz w:val="22"/>
        </w:rPr>
        <w:t xml:space="preserve"> </w:t>
      </w:r>
      <w:r>
        <w:rPr>
          <w:rFonts w:ascii="Arial" w:hAnsi="Arial"/>
          <w:sz w:val="22"/>
        </w:rPr>
        <w:t>população completa. Entre parênteses: erro-padrão por bootstrap em blocos por UPA</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As colunas por sexo da Tabela 10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bookmarkStart w:id="79" w:name="tab:qr_melhorias"/>
    <w:p>
      <w:pPr>
        <w:pStyle w:val="TableCaption"/>
        <w:keepNext/>
        <w:keepLines/>
        <w:spacing w:line="240" w:lineRule="auto" w:before="240" w:after="40"/>
        <w:ind w:firstLine="0"/>
        <w:jc w:val="both"/>
      </w:pPr>
      <w:r>
        <w:rPr>
          <w:rFonts w:ascii="Arial" w:hAnsi="Arial"/>
          <w:sz w:val="22"/>
        </w:rPr>
        <w:t xml:space="preserve">Tabela 10.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10.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e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et al.,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p>
      <w:pPr>
        <w:pStyle w:val="BodyText"/>
        <w:spacing w:line="360" w:lineRule="auto" w:after="0"/>
        <w:ind w:firstLine="709"/>
        <w:jc w:val="both"/>
      </w:pPr>
      <w:r>
        <w:rPr>
          <w:rFonts w:ascii="Arial" w:hAnsi="Arial"/>
          <w:sz w:val="22"/>
        </w:rPr>
        <w:t xml:space="preserve">A Figura 6 põe os dois ângulos lado a lado.</w:t>
      </w:r>
    </w:p>
    <w:bookmarkStart w:id="83" w:name="fig:qr_rif"/>
    <w:p>
      <w:pPr>
        <w:pStyle w:val="CaptionedFigure"/>
        <w:keepNext/>
        <w:keepLines/>
      </w:pPr>
      <w:r>
        <w:rPr>
          <w:rFonts w:ascii="Arial" w:hAnsi="Arial"/>
          <w:sz w:val="22"/>
        </w:rPr>
        <w:drawing>
          <wp:inline>
            <wp:extent cx="5638038" cy="1633018"/>
            <wp:effectExtent b="0" l="0" r="0" t="0"/>
            <wp:docPr descr="" title="" id="81" name="Picture"/>
            <a:graphic>
              <a:graphicData uri="http://schemas.openxmlformats.org/drawingml/2006/picture">
                <pic:pic>
                  <pic:nvPicPr>
                    <pic:cNvPr descr="outputs/figures/fig_qr_rif.png" id="82" name="Picture"/>
                    <pic:cNvPicPr>
                      <a:picLocks noChangeArrowheads="1" noChangeAspect="1"/>
                    </pic:cNvPicPr>
                  </pic:nvPicPr>
                  <pic:blipFill>
                    <a:blip r:embed="rId80"/>
                    <a:stretch>
                      <a:fillRect/>
                    </a:stretch>
                  </pic:blipFill>
                  <pic:spPr bwMode="auto">
                    <a:xfrm>
                      <a:off x="0" y="0"/>
                      <a:ext cx="5638038" cy="1633018"/>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por bootstrap em blocos de UPA); no painel B,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no painel 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No painel B,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4"/>
    <w:bookmarkStart w:id="93"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Até aqui, raça foi tratada como um eixo só; a última etapa pergunta quem está na interseção.</w:t>
      </w:r>
      <w:r>
        <w:rPr>
          <w:rFonts w:ascii="Arial" w:hAnsi="Arial"/>
          <w:sz w:val="22"/>
        </w:rPr>
        <w:t xml:space="preserve"> </w:t>
      </w:r>
      <w:bookmarkStart w:id="85" w:name="subsec:interseccional"/>
      <w:bookmarkEnd w:id="85"/>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86"/>
      </w:r>
      <w:r>
        <w:rPr>
          <w:rFonts w:ascii="Arial" w:hAnsi="Arial"/>
          <w:sz w:val="22"/>
        </w:rPr>
        <w:t xml:space="preserve"> </w:t>
      </w:r>
      <w:r>
        <w:rPr>
          <w:rFonts w:ascii="Arial" w:hAnsi="Arial"/>
          <w:sz w:val="22"/>
        </w:rPr>
        <w:t xml:space="preserve">A Tabela 11 traz a decomposição de Oaxaca–Blinder dos quatro grupos contra o homem branco, e a Figura 7, as razões de chance nos três desfechos.</w:t>
      </w:r>
    </w:p>
    <w:bookmarkStart w:id="87"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Dotações: parcela explicada por</w:t>
      </w:r>
      <w:r>
        <w:rPr>
          <w:rFonts w:ascii="Arial" w:hAnsi="Arial"/>
          <w:sz w:val="22"/>
        </w:rPr>
        <w:t xml:space="preserve"> </w:t>
      </w:r>
      <w:r>
        <w:rPr>
          <w:rFonts w:ascii="Arial" w:hAnsi="Arial"/>
          <w:sz w:val="22"/>
        </w:rPr>
        <w:t>características observáveis; Retornos: parcela não explicada (discriminação). Gap (log):</w:t>
      </w:r>
      <w:r>
        <w:rPr>
          <w:rFonts w:ascii="Arial" w:hAnsi="Arial"/>
          <w:sz w:val="22"/>
        </w:rPr>
        <w:t xml:space="preserve"> </w:t>
      </w:r>
      <w:r>
        <w:rPr>
          <w:rFonts w:ascii="Arial" w:hAnsi="Arial"/>
          <w:sz w:val="22"/>
        </w:rPr>
        <w:t>a mesma desvantagem em log-pontos, a escala em que os efeitos de raça e de gênero se somam</w:t>
      </w:r>
      <w:r>
        <w:rPr>
          <w:rFonts w:ascii="Arial" w:hAnsi="Arial"/>
          <w:sz w:val="22"/>
        </w:rPr>
        <w:t xml:space="preserve"> </w:t>
      </w:r>
      <w:r>
        <w:rPr>
          <w:rFonts w:ascii="Arial" w:hAnsi="Arial"/>
          <w:sz w:val="22"/>
        </w:rPr>
        <w:t>(Crenshaw, 1989)</w:t>
      </w:r>
      <w:r>
        <w:rPr>
          <w:rFonts w:ascii="Arial" w:hAnsi="Arial"/>
          <w:sz w:val="22"/>
        </w:rPr>
        <w:t>. PNAD Contínua, população completa</w:t>
      </w:r>
      <w:r>
        <w:rPr>
          <w:rFonts w:ascii="Arial" w:hAnsi="Arial"/>
          <w:sz w:val="22"/>
        </w:rPr>
        <w:t xml:space="preserve"> </w:t>
      </w:r>
      <w:r>
        <w:rPr>
          <w:rFonts w:ascii="Arial" w:hAnsi="Arial"/>
          <w:sz w:val="22"/>
        </w:rPr>
        <w:t>(</w:t>
      </w:r>
      <m:oMath>
        <m:r>
          <m:t>N</m:t>
        </m:r>
      </m:oMath>
      <w:r>
        <w:rPr>
          <w:rFonts w:ascii="Arial" w:hAnsi="Arial"/>
          <w:sz w:val="22"/>
        </w:rPr>
        <w:t xml:space="preserve"> </w:t>
      </w:r>
      <w:r>
        <w:rPr>
          <w:rFonts w:ascii="Arial" w:hAnsi="Arial"/>
          <w:sz w:val="22"/>
        </w:rPr>
        <w:t>do grupo de referência — homens brancos — na última linha da nota). Entre</w:t>
      </w:r>
      <w:r>
        <w:rPr>
          <w:rFonts w:ascii="Arial" w:hAnsi="Arial"/>
          <w:sz w:val="22"/>
        </w:rPr>
        <w:t xml:space="preserve"> </w:t>
      </w:r>
      <w:r>
        <w:rPr>
          <w:rFonts w:ascii="Arial" w:hAnsi="Arial"/>
          <w:sz w:val="22"/>
        </w:rPr>
        <w:t>parênteses: erro-padrão por bootstrap em blocos por UPA</w:t>
      </w:r>
      <w:r>
        <w:rPr>
          <w:rFonts w:ascii="Arial" w:hAnsi="Arial"/>
          <w:sz w:val="22"/>
        </w:rPr>
        <w:t xml:space="preserve">. </w:t>
      </w:r>
      <w:r>
        <w:rPr>
          <w:rFonts w:ascii="Arial" w:hAnsi="Arial"/>
          <w:sz w:val="22"/>
        </w:rPr>
      </w:r>
      <w:r>
        <w:rPr>
          <w:rFonts w:ascii="Arial" w:hAnsi="Arial"/>
          <w:sz w:val="22"/>
        </w:rPr>
        <w:t xml:space="preserve"> </w:t>
      </w:r>
      <w:r>
        <w:rPr>
          <w:rFonts w:ascii="Arial" w:hAnsi="Arial"/>
          <w:sz w:val="22"/>
        </w:rPr>
        <w:t>“Gap vs HB”</w:t>
      </w:r>
      <w:r>
        <w:rPr>
          <w:rFonts w:ascii="Arial" w:hAnsi="Arial"/>
          <w:sz w:val="22"/>
        </w:rPr>
        <w:t xml:space="preserve"> </w:t>
      </w:r>
      <w:r>
        <w:rPr>
          <w:rFonts w:ascii="Arial" w:hAnsi="Arial"/>
          <w:sz w:val="22"/>
        </w:rPr>
        <w:t>é a desvantagem de renda de cada grupo</w:t>
      </w:r>
      <w:r>
        <w:rPr>
          <w:rFonts w:ascii="Arial" w:hAnsi="Arial"/>
          <w:sz w:val="22"/>
        </w:rPr>
        <w:t xml:space="preserve"> </w:t>
      </w:r>
      <w:r>
        <w:rPr>
          <w:rFonts w:ascii="Arial" w:hAnsi="Arial"/>
          <w:sz w:val="22"/>
        </w:rPr>
        <w:t>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w:t>
      </w:r>
      <w:r>
        <w:rPr>
          <w:rFonts w:ascii="Arial" w:hAnsi="Arial"/>
          <w:sz w:val="22"/>
        </w:rPr>
        <w:t>Grupo de referência: 1.842.088 homens brancos</w:t>
      </w:r>
    </w:p>
    <w:bookmarkStart w:id="91" w:name="fig:interseccional"/>
    <w:p>
      <w:pPr>
        <w:pStyle w:val="CaptionedFigure"/>
        <w:keepNext/>
        <w:keepLines/>
      </w:pPr>
      <w:r>
        <w:rPr>
          <w:rFonts w:ascii="Arial" w:hAnsi="Arial"/>
          <w:sz w:val="22"/>
        </w:rPr>
        <w:drawing>
          <wp:inline>
            <wp:extent cx="4717542" cy="1814439"/>
            <wp:effectExtent b="0" l="0" r="0" t="0"/>
            <wp:docPr descr="" title="" id="89" name="Picture"/>
            <a:graphic>
              <a:graphicData uri="http://schemas.openxmlformats.org/drawingml/2006/picture">
                <pic:pic>
                  <pic:nvPicPr>
                    <pic:cNvPr descr="outputs/figures/grupo_rg_interseccional.png" id="90" name="Picture"/>
                    <pic:cNvPicPr>
                      <a:picLocks noChangeArrowheads="1" noChangeAspect="1"/>
                    </pic:cNvPicPr>
                  </pic:nvPicPr>
                  <pic:blipFill>
                    <a:blip r:embed="rId88"/>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cada série é um grupo raça</w:t>
      </w:r>
      <m:oMath>
        <m:r>
          <m:rPr>
            <m:sty m:val="p"/>
          </m:rPr>
          <m:t>×</m:t>
        </m:r>
      </m:oMath>
      <w:r>
        <w:rPr>
          <w:rFonts w:ascii="Arial" w:hAnsi="Arial"/>
          <w:sz w:val="22"/>
        </w:rPr>
        <w:t>gênero e cada ponto, a razão de chances contra o homem branco, cuja referência é a linha tracejada em 1; abaixo dela, o grupo tem menos chance que ele. No painel A, siga a série azul (mulher negra): ela aparece acima da referência na categoria agregada e termina como o grupo mais distante da referência no topo da renda. No painel B,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2"/>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3"/>
    <w:bookmarkStart w:id="95"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bookmarkStart w:id="94"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4"/>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A penalidade cresce com a idade: 1,7% entre 14 e 29 anos, 8,8% entre 50 e 64 e 14,7% a partir dos 65. Dados transversais não separam as duas leituras possíveis: a de ciclo de vida (a desigualdade se acumula ao longo da carreira) é compatível com o teto de vidro; a de geração (quem chegou ao mercado mais recentemente encontraria menos discriminação), com melhora ao longo do tempo. Acima dos 65 anos, o grupo é selecionado — só quem ainda trabalha — e menor, o que pede cautela com essa estimativa.</w:t>
      </w:r>
    </w:p>
    <w:bookmarkEnd w:id="95"/>
    <w:bookmarkStart w:id="113"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6" w:name="subsec:ml"/>
      <w:bookmarkEnd w:id="96"/>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7"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Como ler a Tabela 13: R</w:t>
      </w:r>
      <w:r>
        <w:rPr>
          <w:rFonts w:ascii="Arial" w:hAnsi="Arial"/>
          <w:sz w:val="22"/>
          <w:vertAlign w:val="superscript"/>
        </w:rPr>
        <w:t xml:space="preserve">2</w:t>
      </w:r>
      <w:r>
        <w:rPr>
          <w:rFonts w:ascii="Arial" w:hAnsi="Arial"/>
          <w:sz w:val="22"/>
        </w:rPr>
        <w:t xml:space="preserve"> </w:t>
      </w:r>
      <w:r>
        <w:rPr>
          <w:rFonts w:ascii="Arial" w:hAnsi="Arial"/>
          <w:sz w:val="22"/>
        </w:rPr>
        <w:t>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e Tabela 15).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 e Tabela 15).</w:t>
      </w:r>
      <w:r>
        <w:rPr>
          <w:rStyle w:val="FootnoteReference"/>
          <w:rFonts w:ascii="Arial" w:hAnsi="Arial"/>
          <w:sz w:val="22"/>
          <w:vertAlign w:val="superscript"/>
        </w:rPr>
        <w:footnoteReference w:id="98"/>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99" w:name="tab:ml_cv"/>
    <w:p>
      <w:pPr>
        <w:pStyle w:val="TableCaption"/>
        <w:keepNext/>
        <w:keepLines/>
        <w:spacing w:line="240" w:lineRule="auto" w:before="240" w:after="40"/>
        <w:ind w:firstLine="0"/>
        <w:jc w:val="both"/>
      </w:pPr>
      <w:r>
        <w:rPr>
          <w:rFonts w:ascii="Arial" w:hAnsi="Arial"/>
          <w:sz w:val="22"/>
        </w:rPr>
        <w:t xml:space="preserve">Tabela 14. Escolha de hiperparâmetros do XGBoost na partição de validação</w:t>
      </w:r>
      <w:r>
        <w:rPr>
          <w:rFonts w:ascii="Arial" w:hAnsi="Arial"/>
          <w:sz w:val="22"/>
        </w:rPr>
        <w:t xml:space="preserve"> </w:t>
      </w:r>
      <w:r>
        <w:rPr>
          <w:rFonts w:ascii="Arial" w:hAnsi="Arial"/>
          <w:sz w:val="22"/>
        </w:rPr>
        <w:t>(Alencar, 2026a, b, 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do XGBoost na partição de validação (Alencar, 2026a, b, c; Géron, 2021). Seis configurações comparadas dentro do treino — o conjunto de teste permanece intocado. População completa: 6.159.418 observações de treino e 1.539.855 de teste; nenhuma amostragem."/>
        <w:tblBorders>
          <w:top w:val="nil"/>
          <w:left w:val="nil"/>
          <w:bottom w:val="nil"/>
          <w:right w:val="nil"/>
          <w:insideH w:val="nil"/>
          <w:insideV w:val="nil"/>
        </w:tblBorders>
      </w:tblPr>
      <w:tblGrid>
        <w:gridCol w:w="1647"/>
        <w:gridCol w:w="1531"/>
        <w:gridCol w:w="1773"/>
        <w:gridCol w:w="1268"/>
        <w:gridCol w:w="1268"/>
        <w:gridCol w:w="1585"/>
      </w:tblGrid>
      <w:tr>
        <w:trPr>
          <w:tblHeader w:val="on"/>
          <w:cantSplit/>
        </w:trPr>
        <w:tc>
          <w:tcPr>
            <w:tcW w:type="dxa" w:w="164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Profundidade</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Taxa de aprendizado</w:t>
            </w:r>
          </w:p>
        </w:tc>
        <w:tc>
          <w:tcPr>
            <w:tcW w:type="dxa" w:w="177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Árvores</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MAE</w:t>
            </w:r>
          </w:p>
        </w:tc>
        <w:tc>
          <w:tcPr>
            <w:tcW w:type="dxa" w:w="158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sz w:val="20"/>
              </w:rPr>
              <w:t xml:space="preserve">10</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0,6427</w:t>
            </w:r>
          </w:p>
        </w:tc>
        <w:tc>
          <w:tcPr>
            <w:tcW w:type="dxa" w:w="1268"/>
          </w:tcPr>
          <w:p>
            <w:pPr>
              <w:pStyle w:val="Compact"/>
              <w:keepNext/>
              <w:spacing w:line="240" w:lineRule="auto" w:after="0"/>
              <w:ind w:firstLine="0"/>
              <w:jc w:val="right"/>
            </w:pPr>
            <w:r>
              <w:rPr>
                <w:rFonts w:ascii="Arial" w:hAnsi="Arial"/>
                <w:b w:val="0"/>
                <w:sz w:val="20"/>
              </w:rPr>
              <w:t xml:space="preserve">0,3977</w:t>
            </w:r>
          </w:p>
        </w:tc>
        <w:tc>
          <w:tcPr>
            <w:tcW w:type="dxa" w:w="1585"/>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600</w:t>
            </w:r>
          </w:p>
        </w:tc>
        <w:tc>
          <w:tcPr>
            <w:tcW w:type="dxa" w:w="1268"/>
          </w:tcPr>
          <w:p>
            <w:pPr>
              <w:pStyle w:val="Compact"/>
              <w:keepNext/>
              <w:spacing w:line="240" w:lineRule="auto" w:after="0"/>
              <w:ind w:firstLine="0"/>
              <w:jc w:val="right"/>
            </w:pPr>
            <w:r>
              <w:rPr>
                <w:rFonts w:ascii="Arial" w:hAnsi="Arial"/>
                <w:b w:val="0"/>
                <w:sz w:val="20"/>
              </w:rPr>
              <w:t xml:space="preserve">0,6395</w:t>
            </w:r>
          </w:p>
        </w:tc>
        <w:tc>
          <w:tcPr>
            <w:tcW w:type="dxa" w:w="1268"/>
          </w:tcPr>
          <w:p>
            <w:pPr>
              <w:pStyle w:val="Compact"/>
              <w:keepNext/>
              <w:spacing w:line="240" w:lineRule="auto" w:after="0"/>
              <w:ind w:firstLine="0"/>
              <w:jc w:val="right"/>
            </w:pPr>
            <w:r>
              <w:rPr>
                <w:rFonts w:ascii="Arial" w:hAnsi="Arial"/>
                <w:b w:val="0"/>
                <w:sz w:val="20"/>
              </w:rPr>
              <w:t xml:space="preserve">0,3995</w:t>
            </w:r>
          </w:p>
        </w:tc>
        <w:tc>
          <w:tcPr>
            <w:tcW w:type="dxa" w:w="1585"/>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0,6352</w:t>
            </w:r>
          </w:p>
        </w:tc>
        <w:tc>
          <w:tcPr>
            <w:tcW w:type="dxa" w:w="1268"/>
          </w:tcPr>
          <w:p>
            <w:pPr>
              <w:pStyle w:val="Compact"/>
              <w:keepNext/>
              <w:spacing w:line="240" w:lineRule="auto" w:after="0"/>
              <w:ind w:firstLine="0"/>
              <w:jc w:val="right"/>
            </w:pPr>
            <w:r>
              <w:rPr>
                <w:rFonts w:ascii="Arial" w:hAnsi="Arial"/>
                <w:b w:val="0"/>
                <w:sz w:val="20"/>
              </w:rPr>
              <w:t xml:space="preserve">0,4022</w:t>
            </w:r>
          </w:p>
        </w:tc>
        <w:tc>
          <w:tcPr>
            <w:tcW w:type="dxa" w:w="1585"/>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0,10</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0,6322</w:t>
            </w:r>
          </w:p>
        </w:tc>
        <w:tc>
          <w:tcPr>
            <w:tcW w:type="dxa" w:w="1268"/>
          </w:tcPr>
          <w:p>
            <w:pPr>
              <w:pStyle w:val="Compact"/>
              <w:keepNext/>
              <w:spacing w:line="240" w:lineRule="auto" w:after="0"/>
              <w:ind w:firstLine="0"/>
              <w:jc w:val="right"/>
            </w:pPr>
            <w:r>
              <w:rPr>
                <w:rFonts w:ascii="Arial" w:hAnsi="Arial"/>
                <w:b w:val="0"/>
                <w:sz w:val="20"/>
              </w:rPr>
              <w:t xml:space="preserve">0,4041</w:t>
            </w:r>
          </w:p>
        </w:tc>
        <w:tc>
          <w:tcPr>
            <w:tcW w:type="dxa" w:w="1585"/>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 (referência)</w:t>
            </w:r>
          </w:p>
        </w:tc>
        <w:tc>
          <w:tcPr>
            <w:tcW w:type="dxa" w:w="1268"/>
          </w:tcPr>
          <w:p>
            <w:pPr>
              <w:pStyle w:val="Compact"/>
              <w:keepNext/>
              <w:spacing w:line="240" w:lineRule="auto" w:after="0"/>
              <w:ind w:firstLine="0"/>
              <w:jc w:val="right"/>
            </w:pPr>
            <w:r>
              <w:rPr>
                <w:rFonts w:ascii="Arial" w:hAnsi="Arial"/>
                <w:b w:val="0"/>
                <w:sz w:val="20"/>
              </w:rPr>
              <w:t xml:space="preserve">0,6286</w:t>
            </w:r>
          </w:p>
        </w:tc>
        <w:tc>
          <w:tcPr>
            <w:tcW w:type="dxa" w:w="1268"/>
          </w:tcPr>
          <w:p>
            <w:pPr>
              <w:pStyle w:val="Compact"/>
              <w:keepNext/>
              <w:spacing w:line="240" w:lineRule="auto" w:after="0"/>
              <w:ind w:firstLine="0"/>
              <w:jc w:val="right"/>
            </w:pPr>
            <w:r>
              <w:rPr>
                <w:rFonts w:ascii="Arial" w:hAnsi="Arial"/>
                <w:b w:val="0"/>
                <w:sz w:val="20"/>
              </w:rPr>
              <w:t xml:space="preserve">0,4062</w:t>
            </w:r>
          </w:p>
        </w:tc>
        <w:tc>
          <w:tcPr>
            <w:tcW w:type="dxa" w:w="1585"/>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77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8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Seis configurações comparadas</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População completa:</w:t>
      </w:r>
      <w:r>
        <w:rPr>
          <w:rFonts w:ascii="Arial" w:hAnsi="Arial"/>
          <w:sz w:val="22"/>
        </w:rPr>
        <w:t xml:space="preserve"> </w:t>
      </w:r>
      <w:r>
        <w:rPr>
          <w:rFonts w:ascii="Arial" w:hAnsi="Arial"/>
          <w:sz w:val="22"/>
        </w:rPr>
        <w:t>6.159.418 observações de treino e 1.539.855 de teste; nenhuma amostragem</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primeira linha é a configuração escolhida</w:t>
      </w:r>
    </w:p>
    <w:bookmarkStart w:id="100" w:name="tab:ml_cv_b"/>
    <w:p>
      <w:pPr>
        <w:pStyle w:val="TableCaption"/>
        <w:keepNext/>
        <w:keepLines/>
        <w:spacing w:line="240" w:lineRule="auto" w:before="240" w:after="40"/>
        <w:ind w:firstLine="0"/>
        <w:jc w:val="both"/>
      </w:pPr>
      <w:r>
        <w:rPr>
          <w:rFonts w:ascii="Arial" w:hAnsi="Arial"/>
          <w:sz w:val="22"/>
        </w:rPr>
        <w:t xml:space="preserve">Tabela 15.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do XGBoost no treino completo,</w:t>
      </w:r>
      <w:r>
        <w:rPr>
          <w:rFonts w:ascii="Arial" w:hAnsi="Arial"/>
          <w:sz w:val="22"/>
        </w:rPr>
        <w:t xml:space="preserve"> </w:t>
      </w:r>
      <w:r>
        <w:rPr>
          <w:rFonts w:ascii="Arial" w:hAnsi="Arial"/>
          <w:sz w:val="22"/>
        </w:rPr>
        <w:t xml:space="preserve">com média e desvio-padrão entre</w:t>
      </w:r>
      <w:r>
        <w:rPr>
          <w:rFonts w:ascii="Arial" w:hAnsi="Arial"/>
          <w:sz w:val="22"/>
        </w:rPr>
        <w:t xml:space="preserve"> </w:t>
      </w:r>
      <w:r>
        <w:rPr>
          <w:rFonts w:ascii="Arial" w:hAnsi="Arial"/>
          <w:sz w:val="22"/>
        </w:rPr>
        <w:t xml:space="preserve">folds</w:t>
      </w:r>
      <w:r>
        <w:rPr>
          <w:rFonts w:ascii="Arial" w:hAnsi="Arial"/>
          <w:sz w:val="22"/>
        </w:rPr>
        <w:t xml:space="preserve"/>
      </w:r>
    </w:p>
    <w:tbl>
      <w:tblPr>
        <w:tblStyle w:val="Table"/>
        <w:tblW w:type="auto" w:w="0"/>
        <w:tblLayout w:type="fixed"/>
        <w:tblLook w:firstRow="1" w:lastRow="0" w:firstColumn="0" w:lastColumn="0" w:noHBand="0" w:noVBand="0" w:val="0020"/>
        <w:tblCaption w:val="Tabela 15. Validação cruzada k-fold (k=5) do XGBoost no treino completo, com média e desvio-padrão entre folds."/>
        <w:tblBorders>
          <w:top w:val="nil"/>
          <w:left w:val="nil"/>
          <w:bottom w:val="nil"/>
          <w:right w:val="nil"/>
          <w:insideH w:val="nil"/>
          <w:insideV w:val="nil"/>
        </w:tblBorders>
      </w:tblPr>
      <w:tblGrid>
        <w:gridCol w:w="3402"/>
        <w:gridCol w:w="1890"/>
        <w:gridCol w:w="1890"/>
        <w:gridCol w:w="1890"/>
      </w:tblGrid>
      <w:tr>
        <w:trPr>
          <w:tblHeader w:val="on"/>
          <w:cantSplit/>
        </w:trPr>
        <w:tc>
          <w:tcPr>
            <w:tcW w:type="dxa" w:w="340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Configuração</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MAE</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RMSE</w:t>
            </w:r>
          </w:p>
        </w:tc>
      </w:tr>
      <w:tr>
        <w:trPr>
          <w:cantSplit/>
        </w:trPr>
        <w:tc>
          <w:tcPr>
            <w:tcW w:type="dxa" w:w="3402"/>
          </w:tcPr>
          <w:p>
            <w:pPr>
              <w:pStyle w:val="Compact"/>
              <w:keepNext/>
              <w:spacing w:line="240" w:lineRule="auto" w:after="0"/>
              <w:ind w:firstLine="0"/>
              <w:jc w:val="left"/>
            </w:pPr>
            <w:r>
              <w:rPr>
                <w:rFonts w:ascii="Arial" w:hAnsi="Arial"/>
                <w:b w:val="0"/>
                <w:sz w:val="22"/>
              </w:rPr>
              <w:t xml:space="preserve">Escolhida (profundidade 10)</w:t>
            </w:r>
          </w:p>
        </w:tc>
        <w:tc>
          <w:tcPr>
            <w:tcW w:type="dxa" w:w="1890"/>
          </w:tcPr>
          <w:p>
            <w:pPr>
              <w:pStyle w:val="Compact"/>
              <w:keepNext/>
              <w:spacing w:line="240" w:lineRule="auto" w:after="0"/>
              <w:ind w:firstLine="0"/>
              <w:jc w:val="left"/>
            </w:pPr>
            <w:r>
              <w:rPr>
                <w:rFonts w:ascii="Arial" w:hAnsi="Arial"/>
                <w:b w:val="0"/>
                <w:sz w:val="22"/>
              </w:rPr>
              <w:t xml:space="preserve">0,6435 ± 0,0006</w:t>
            </w:r>
          </w:p>
        </w:tc>
        <w:tc>
          <w:tcPr>
            <w:tcW w:type="dxa" w:w="1890"/>
          </w:tcPr>
          <w:p>
            <w:pPr>
              <w:pStyle w:val="Compact"/>
              <w:keepNext/>
              <w:spacing w:line="240" w:lineRule="auto" w:after="0"/>
              <w:ind w:firstLine="0"/>
              <w:jc w:val="left"/>
            </w:pPr>
            <w:r>
              <w:rPr>
                <w:rFonts w:ascii="Arial" w:hAnsi="Arial"/>
                <w:b w:val="0"/>
                <w:sz w:val="22"/>
              </w:rPr>
              <w:t xml:space="preserve">0,3978 ± 0,0002</w:t>
            </w:r>
          </w:p>
        </w:tc>
        <w:tc>
          <w:tcPr>
            <w:tcW w:type="dxa" w:w="1890"/>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340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bookmarkEnd w:id="10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A configuração escolhida ganha 1,4 ponto percentual</w:t>
      </w:r>
      <w:r>
        <w:rPr>
          <w:rFonts w:ascii="Arial" w:hAnsi="Arial"/>
          <w:sz w:val="22"/>
        </w:rPr>
        <w:t xml:space="preserve"> </w:t>
      </w:r>
      <w:r>
        <w:rPr>
          <w:rFonts w:ascii="Arial" w:hAnsi="Arial"/>
          <w:sz w:val="22"/>
        </w:rPr>
        <w:t xml:space="preserve">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 sobreajuste maior, mas ainda pequeno (Tabela 14). No</w:t>
      </w:r>
      <w:r>
        <w:rPr>
          <w:rFonts w:ascii="Arial" w:hAnsi="Arial"/>
          <w:sz w:val="22"/>
        </w:rPr>
        <w:t xml:space="preserve"> </w:t>
      </w:r>
      <w:r>
        <w:rPr>
          <w:rFonts w:ascii="Arial" w:hAnsi="Arial"/>
          <w:sz w:val="22"/>
        </w:rPr>
        <w:t xml:space="preserve">conjunto de teste (intocado durante a 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1"/>
      </w:r>
      <w:r>
        <w:rPr>
          <w:rFonts w:ascii="Arial" w:hAnsi="Arial"/>
          <w:sz w:val="22"/>
        </w:rPr>
        <w:t xml:space="preserve">. Três evidências</w:t>
      </w:r>
      <w:r>
        <w:rPr>
          <w:rFonts w:ascii="Arial" w:hAnsi="Arial"/>
          <w:sz w:val="22"/>
        </w:rPr>
        <w:t xml:space="preserve"> </w:t>
      </w:r>
      <w:r>
        <w:rPr>
          <w:rFonts w:ascii="Arial" w:hAnsi="Arial"/>
          <w:sz w:val="22"/>
        </w:rPr>
        <w:t>convergem: a diferença entre treino e teste é praticamente nula; o número de observações</w:t>
      </w:r>
      <w:r>
        <w:rPr>
          <w:rFonts w:ascii="Arial" w:hAnsi="Arial"/>
          <w:sz w:val="22"/>
        </w:rPr>
        <w:t xml:space="preserve"> </w:t>
      </w:r>
      <w:r>
        <w:rPr>
          <w:rFonts w:ascii="Arial" w:hAnsi="Arial"/>
          <w:sz w:val="22"/>
        </w:rPr>
        <w:t>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16 traz o ranking completo das variáveis nos dois modelos, e a Figura 8 mostra como cada uma move a previsão, trabalhador a trabalhador.</w:t>
      </w:r>
    </w:p>
    <w:bookmarkStart w:id="102" w:name="tab:shap_importance"/>
    <w:p>
      <w:pPr>
        <w:pStyle w:val="TableCaption"/>
        <w:keepNext/>
        <w:keepLines/>
        <w:spacing w:line="240" w:lineRule="auto" w:before="240" w:after="40"/>
        <w:ind w:firstLine="0"/>
        <w:jc w:val="both"/>
      </w:pPr>
      <w:r>
        <w:rPr>
          <w:rFonts w:ascii="Arial" w:hAnsi="Arial"/>
          <w:sz w:val="22"/>
        </w:rPr>
        <w:t xml:space="preserve">Tabela 16. Importância SHAP Comparada — Random Forest e XGBoost</w:t>
      </w:r>
    </w:p>
    <w:tbl>
      <w:tblPr>
        <w:tblStyle w:val="Table"/>
        <w:tblW w:type="auto" w:w="0"/>
        <w:tblLayout w:type="fixed"/>
        <w:tblLook w:firstRow="1" w:lastRow="0" w:firstColumn="0" w:lastColumn="0" w:noHBand="0" w:noVBand="0" w:val="0020"/>
        <w:tblCaption w:val="Tabela 16.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Como ler a Tabela 16: variáveis ordenadas pela importância média (</w:t>
      </w:r>
      <m:oMath>
        <m:r>
          <m:rPr>
            <m:sty m:val="p"/>
          </m:rPr>
          <m:t>|</m:t>
        </m:r>
        <m:r>
          <m:rPr>
            <m:nor/>
            <m:sty m:val="p"/>
          </m:rPr>
          <m:t>SHAP</m:t>
        </m:r>
        <m:r>
          <m:rPr>
            <m:sty m:val="p"/>
          </m:rPr>
          <m:t>|</m:t>
        </m:r>
      </m:oMath>
      <w:r>
        <w:rPr>
          <w:rFonts w:ascii="Arial" w:hAnsi="Arial"/>
          <w:sz w:val="22"/>
        </w:rPr>
        <w:t>); valores maiores = maior peso na previsão da renda</w:t>
      </w:r>
    </w:p>
    <w:bookmarkStart w:id="106" w:name="fig:shap"/>
    <w:p>
      <w:pPr>
        <w:pStyle w:val="CaptionedFigure"/>
        <w:keepNext/>
        <w:keepLines/>
      </w:pPr>
      <w:r>
        <w:rPr>
          <w:rFonts w:ascii="Arial" w:hAnsi="Arial"/>
          <w:sz w:val="22"/>
        </w:rPr>
        <w:drawing>
          <wp:inline>
            <wp:extent cx="5292852" cy="3863861"/>
            <wp:effectExtent b="0" l="0" r="0" t="0"/>
            <wp:docPr descr="" title="" id="104" name="Picture"/>
            <a:graphic>
              <a:graphicData uri="http://schemas.openxmlformats.org/drawingml/2006/picture">
                <pic:pic>
                  <pic:nvPicPr>
                    <pic:cNvPr descr="outputs/figures/shap_beeswarm_xgb_tcc.png" id="105" name="Picture"/>
                    <pic:cNvPicPr>
                      <a:picLocks noChangeArrowheads="1" noChangeAspect="1"/>
                    </pic:cNvPicPr>
                  </pic:nvPicPr>
                  <pic:blipFill>
                    <a:blip r:embed="rId103"/>
                    <a:stretch>
                      <a:fillRect/>
                    </a:stretch>
                  </pic:blipFill>
                  <pic:spPr bwMode="auto">
                    <a:xfrm>
                      <a:off x="0" y="0"/>
                      <a:ext cx="5292852" cy="386386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Figura 8.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8: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16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7"/>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16</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9 ilustra como a previsão de dois casos individuais é composta.</w:t>
      </w:r>
    </w:p>
    <w:bookmarkStart w:id="112" w:name="fig:shap_wf"/>
    <w:p>
      <w:pPr>
        <w:pStyle w:val="CaptionedFigure"/>
        <w:keepNext/>
        <w:keepLines/>
      </w:pPr>
      <w:r>
        <w:rPr>
          <w:rFonts w:ascii="Arial" w:hAnsi="Arial"/>
          <w:sz w:val="22"/>
        </w:rPr>
        <w:drawing>
          <wp:inline>
            <wp:extent cx="3566922" cy="6538900"/>
            <wp:effectExtent b="0" l="0" r="0" t="0"/>
            <wp:docPr descr="" title="" id="110" name="Picture"/>
            <a:graphic>
              <a:graphicData uri="http://schemas.openxmlformats.org/drawingml/2006/picture">
                <pic:pic>
                  <pic:nvPicPr>
                    <pic:cNvPr descr="outputs/figures/shap_waterfall_AB_xgb.png" id="111" name="Picture"/>
                    <pic:cNvPicPr>
                      <a:picLocks noChangeArrowheads="1" noChangeAspect="1"/>
                    </pic:cNvPicPr>
                  </pic:nvPicPr>
                  <pic:blipFill>
                    <a:blip r:embed="rId109"/>
                    <a:stretch>
                      <a:fillRect/>
                    </a:stretch>
                  </pic:blipFill>
                  <pic:spPr bwMode="auto">
                    <a:xfrm>
                      <a:off x="0" y="0"/>
                      <a:ext cx="3566922" cy="6538900"/>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 painel A é o trabalhador branco, e o B, o</w:t>
      </w:r>
      <w:r>
        <w:rPr>
          <w:rFonts w:ascii="Arial" w:hAnsi="Arial"/>
          <w:sz w:val="22"/>
        </w:rPr>
        <w:t xml:space="preserve"> </w:t>
      </w:r>
      <w:r>
        <w:rPr>
          <w:rFonts w:ascii="Arial" w:hAnsi="Arial"/>
          <w:sz w:val="22"/>
        </w:rPr>
        <w:t xml:space="preserve">negro.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8, sobre os 50 mil casos</w:t>
      </w:r>
    </w:p>
    <w:bookmarkEnd w:id="113"/>
    <w:bookmarkStart w:id="116"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4" w:name="subsec:vif"/>
      <w:bookmarkEnd w:id="114"/>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5"/>
      </w:r>
      <w:r>
        <w:rPr>
          <w:rFonts w:ascii="Arial" w:hAnsi="Arial"/>
          <w:sz w:val="22"/>
        </w:rPr>
        <w:t xml:space="preserve"> </w:t>
      </w:r>
      <w:r>
        <w:rPr>
          <w:rFonts w:ascii="Arial" w:hAnsi="Arial"/>
          <w:sz w:val="22"/>
        </w:rPr>
        <w:t>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16"/>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a decomposição de dotações,</w:t>
      </w:r>
      <w:r>
        <w:rPr>
          <w:rFonts w:ascii="Arial" w:hAnsi="Arial"/>
          <w:sz w:val="22"/>
        </w:rPr>
        <w:t xml:space="preserve"> </w:t>
      </w:r>
      <w:r>
        <w:rPr>
          <w:rFonts w:ascii="Arial" w:hAnsi="Arial"/>
          <w:sz w:val="22"/>
        </w:rPr>
        <w:t xml:space="preserve">“de que ele é feito”</w:t>
      </w:r>
      <w:r>
        <w:rPr>
          <w:rFonts w:ascii="Arial" w:hAnsi="Arial"/>
          <w:sz w:val="22"/>
        </w:rPr>
        <w:t>;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17"/>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18"/>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1% na pós-graduação (Figura 10); a desvantagem de acesso, não: com superior completo, as chances de um trabalhador negro chegar a um cargo qualificado seguem 18% menores que as de um branco de mesmo perfil e bairro, e com pós-graduação, 23% menores (GLMM, degrau A4, Tabela 8).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bookmarkStart w:id="122" w:name="fig:hlm_negro_educ"/>
    <w:p>
      <w:pPr>
        <w:pStyle w:val="CaptionedFigure"/>
        <w:keepNext/>
        <w:keepLines/>
      </w:pPr>
      <w:r>
        <w:rPr>
          <w:rFonts w:ascii="Arial" w:hAnsi="Arial"/>
          <w:sz w:val="22"/>
        </w:rPr>
        <w:drawing>
          <wp:inline>
            <wp:extent cx="5177790" cy="3034954"/>
            <wp:effectExtent b="0" l="0" r="0" t="0"/>
            <wp:docPr descr="" title="" id="120" name="Picture"/>
            <a:graphic>
              <a:graphicData uri="http://schemas.openxmlformats.org/drawingml/2006/picture">
                <pic:pic>
                  <pic:nvPicPr>
                    <pic:cNvPr descr="outputs/figures/hlm_negro_por_educ_retas.png" id="121" name="Picture"/>
                    <pic:cNvPicPr>
                      <a:picLocks noChangeArrowheads="1" noChangeAspect="1"/>
                    </pic:cNvPicPr>
                  </pic:nvPicPr>
                  <pic:blipFill>
                    <a:blip r:embed="rId119"/>
                    <a:stretch>
                      <a:fillRect/>
                    </a:stretch>
                  </pic:blipFill>
                  <pic:spPr bwMode="auto">
                    <a:xfrm>
                      <a:off x="0" y="0"/>
                      <a:ext cx="5177790" cy="3034954"/>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10.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12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10: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2023c)</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2023a)</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boa parte dos servidores ocupados entrou antes dela.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2023b)</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(Marques, 2010; Wilson, 1987; Sampson et al., 1997)</w:t>
      </w:r>
      <w:r>
        <w:rPr>
          <w:rFonts w:ascii="Arial" w:hAnsi="Arial"/>
          <w:sz w:val="22"/>
        </w:rPr>
        <w:t xml:space="preserve"> </w:t>
      </w:r>
      <w:r>
        <w:rPr>
          <w:rFonts w:ascii="Arial" w:hAnsi="Arial"/>
          <w:sz w:val="22"/>
        </w:rPr>
        <w:t>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29" w:name="ref-alencar2026a"/>
    <w:p>
      <w:pPr>
        <w:pStyle w:val="Bibliography"/>
        <w:spacing w:line="240" w:lineRule="auto" w:before="0" w:after="120"/>
        <w:ind w:firstLine="0" w:left="0"/>
        <w:jc w:val="left"/>
      </w:pPr>
      <w:r>
        <w:rPr>
          <w:rFonts w:ascii="Arial" w:hAnsi="Arial"/>
          <w:sz w:val="22"/>
        </w:rPr>
        <w:t xml:space="preserve">Alencar, V. 2026a. Árvores, Redes e Ensembles</w:t>
      </w:r>
      <w:r>
        <w:rPr>
          <w:rFonts w:ascii="Arial" w:hAnsi="Arial"/>
          <w:sz w:val="22"/>
        </w:rPr>
        <w:t xml:space="preserve"> </w:t>
      </w:r>
      <w:r>
        <w:rPr>
          <w:rFonts w:ascii="Arial" w:hAnsi="Arial"/>
          <w:sz w:val="22"/>
        </w:rPr>
        <w:t xml:space="preserve">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29"/>
    <w:bookmarkStart w:id="130" w:name="ref-alencar2026b"/>
    <w:p>
      <w:pPr>
        <w:pStyle w:val="Bibliography"/>
        <w:spacing w:line="240" w:lineRule="auto" w:before="0" w:after="120"/>
        <w:ind w:firstLine="0" w:left="0"/>
        <w:jc w:val="left"/>
      </w:pPr>
      <w:r>
        <w:rPr>
          <w:rFonts w:ascii="Arial" w:hAnsi="Arial"/>
          <w:sz w:val="22"/>
        </w:rPr>
        <w:t xml:space="preserve">Alencar, V. 2026b. Árvores, Redes e Ensembles</w:t>
      </w:r>
      <w:r>
        <w:rPr>
          <w:rFonts w:ascii="Arial" w:hAnsi="Arial"/>
          <w:sz w:val="22"/>
        </w:rPr>
        <w:t xml:space="preserve"> </w:t>
      </w:r>
      <w:r>
        <w:rPr>
          <w:rFonts w:ascii="Arial" w:hAnsi="Arial"/>
          <w:sz w:val="22"/>
        </w:rPr>
        <w:t xml:space="preserve">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0"/>
    <w:bookmarkStart w:id="131" w:name="ref-alencar2026c"/>
    <w:p>
      <w:pPr>
        <w:pStyle w:val="Bibliography"/>
        <w:spacing w:line="240" w:lineRule="auto" w:before="0" w:after="120"/>
        <w:ind w:firstLine="0" w:left="0"/>
        <w:jc w:val="left"/>
      </w:pPr>
      <w:r>
        <w:rPr>
          <w:rFonts w:ascii="Arial" w:hAnsi="Arial"/>
          <w:sz w:val="22"/>
        </w:rPr>
        <w:t xml:space="preserve">Alencar, V. 2026c. Árvores, Redes e Ensembles</w:t>
      </w:r>
      <w:r>
        <w:rPr>
          <w:rFonts w:ascii="Arial" w:hAnsi="Arial"/>
          <w:sz w:val="22"/>
        </w:rPr>
        <w:t xml:space="preserve"> </w:t>
      </w:r>
      <w:r>
        <w:rPr>
          <w:rFonts w:ascii="Arial" w:hAnsi="Arial"/>
          <w:sz w:val="22"/>
        </w:rPr>
        <w:t xml:space="preserve">III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1"/>
    <w:bookmarkStart w:id="132" w:name="ref-almeida2019"/>
    <w:p>
      <w:pPr>
        <w:pStyle w:val="Bibliography"/>
        <w:spacing w:line="240" w:lineRule="auto" w:before="0" w:after="120"/>
        <w:ind w:firstLine="0" w:left="0"/>
        <w:jc w:val="left"/>
      </w:pPr>
      <w:r>
        <w:rPr>
          <w:rFonts w:ascii="Arial" w:hAnsi="Arial"/>
          <w:sz w:val="22"/>
        </w:rPr>
        <w:t xml:space="preserve">Almeida, S.L. 2019. Racismo Estrutural. Janda</w:t>
      </w:r>
      <w:r>
        <w:rPr>
          <w:rFonts w:ascii="Arial" w:hAnsi="Arial"/>
          <w:sz w:val="22"/>
        </w:rPr>
        <w:t xml:space="preserve">í</w:t>
      </w:r>
      <w:r>
        <w:rPr>
          <w:rFonts w:ascii="Arial" w:hAnsi="Arial"/>
          <w:sz w:val="22"/>
        </w:rPr>
        <w:t xml:space="preserve">ra, S</w:t>
      </w:r>
      <w:r>
        <w:rPr>
          <w:rFonts w:ascii="Arial" w:hAnsi="Arial"/>
          <w:sz w:val="22"/>
        </w:rPr>
        <w:t xml:space="preserve">ã</w:t>
      </w:r>
      <w:r>
        <w:rPr>
          <w:rFonts w:ascii="Arial" w:hAnsi="Arial"/>
          <w:sz w:val="22"/>
        </w:rPr>
        <w:t xml:space="preserve">o Paulo, SP, Brasil.</w:t>
      </w:r>
    </w:p>
    <w:bookmarkEnd w:id="132"/>
    <w:bookmarkStart w:id="133" w:name="ref-angrist2009"/>
    <w:p>
      <w:pPr>
        <w:pStyle w:val="Bibliography"/>
        <w:spacing w:line="240" w:lineRule="auto" w:before="0" w:after="120"/>
        <w:ind w:firstLine="0" w:left="0"/>
        <w:jc w:val="left"/>
      </w:pPr>
      <w:r>
        <w:rPr>
          <w:rFonts w:ascii="Arial" w:hAnsi="Arial"/>
          <w:sz w:val="22"/>
        </w:rPr>
        <w:t>Angrist, J.D.; Pischke, J.-S. 2009. Mostly Harmless Econometrics: An empiricist’s companion. Princeton University Press, Princeton, NJ, EUA.</w:t>
      </w:r>
    </w:p>
    <w:bookmarkEnd w:id="133"/>
    <w:bookmarkStart w:id="134" w:name="ref-arrow1973"/>
    <w:p>
      <w:pPr>
        <w:pStyle w:val="Bibliography"/>
        <w:spacing w:line="240" w:lineRule="auto" w:before="0" w:after="120"/>
        <w:ind w:firstLine="0" w:left="0"/>
        <w:jc w:val="left"/>
      </w:pPr>
      <w:r>
        <w:rPr>
          <w:rFonts w:ascii="Arial" w:hAnsi="Arial"/>
          <w:sz w:val="22"/>
        </w:rPr>
        <w:t>Arrow, K.J. 1973. The theory of discrimination. p. 3-33. In: Ashenfelter, O.; Rees, A. Discrimination in Labor Markets. Princeton University Press, Princeton, NJ, EUA.</w:t>
      </w:r>
    </w:p>
    <w:bookmarkEnd w:id="134"/>
    <w:bookmarkStart w:id="135" w:name="ref-becker1957"/>
    <w:p>
      <w:pPr>
        <w:pStyle w:val="Bibliography"/>
        <w:spacing w:line="240" w:lineRule="auto" w:before="0" w:after="120"/>
        <w:ind w:firstLine="0" w:left="0"/>
        <w:jc w:val="left"/>
      </w:pPr>
      <w:r>
        <w:rPr>
          <w:rFonts w:ascii="Arial" w:hAnsi="Arial"/>
          <w:sz w:val="22"/>
        </w:rPr>
        <w:t xml:space="preserve">Becker, G.S. 1957. The Economics of Discrimination. University of Chicago Press, Chicago, IL, EUA.</w:t>
      </w:r>
    </w:p>
    <w:bookmarkEnd w:id="135"/>
    <w:bookmarkStart w:id="136" w:name="ref-bickel2008"/>
    <w:p>
      <w:pPr>
        <w:pStyle w:val="Bibliography"/>
        <w:spacing w:line="240" w:lineRule="auto" w:before="0" w:after="120"/>
        <w:ind w:firstLine="0" w:left="0"/>
        <w:jc w:val="left"/>
      </w:pPr>
      <w:r>
        <w:rPr>
          <w:rFonts w:ascii="Arial" w:hAnsi="Arial"/>
          <w:sz w:val="22"/>
        </w:rPr>
        <w:t>Bickel, P.J.; Sakov, A. 2008. On the choice of m in the m out of n bootstrap and confidence bounds for extrema. Statistica Sinica 18(3): 967-985.</w:t>
      </w:r>
    </w:p>
    <w:bookmarkEnd w:id="136"/>
    <w:bookmarkStart w:id="137" w:name="ref-blinder1973"/>
    <w:p>
      <w:pPr>
        <w:pStyle w:val="Bibliography"/>
        <w:spacing w:line="240" w:lineRule="auto" w:before="0" w:after="120"/>
        <w:ind w:firstLine="0" w:left="0"/>
        <w:jc w:val="left"/>
      </w:pPr>
      <w:r>
        <w:rPr>
          <w:rFonts w:ascii="Arial" w:hAnsi="Arial"/>
          <w:sz w:val="22"/>
        </w:rPr>
        <w:t>Blinder, A.S. 1973. Wage discrimination: reduced form and structural estimates. Journal of Human Resources 8(4): 436-455.</w:t>
      </w:r>
    </w:p>
    <w:bookmarkEnd w:id="137"/>
    <w:bookmarkStart w:id="138" w:name="ref-brasil1995lei9029"/>
    <w:p>
      <w:pPr>
        <w:pStyle w:val="Bibliography"/>
        <w:spacing w:line="240" w:lineRule="auto" w:before="0" w:after="120"/>
        <w:ind w:firstLine="0" w:left="0"/>
        <w:jc w:val="left"/>
      </w:pPr>
      <w:r>
        <w:rPr>
          <w:rFonts w:ascii="Arial" w:hAnsi="Arial"/>
          <w:sz w:val="22"/>
        </w:rPr>
        <w:t xml:space="preserve">Brasil. 1995. Lei n. 9.029, de 13 de abril de 1995. Proíbe a exigência de atestados de gravidez e esterilização, e outras práticas discriminatórias, para efeitos admissionais ou de permanência da relação jurídica de trabalho. Diário Oficial da União, Brasília, 17 abr. 1995. Seção 1, p. 5361.</w:t>
      </w:r>
    </w:p>
    <w:bookmarkEnd w:id="138"/>
    <w:bookmarkStart w:id="139" w:name="ref-brasil2010lei12288"/>
    <w:p>
      <w:pPr>
        <w:pStyle w:val="Bibliography"/>
        <w:spacing w:line="240" w:lineRule="auto" w:before="0" w:after="120"/>
        <w:ind w:firstLine="0" w:left="0"/>
        <w:jc w:val="left"/>
      </w:pPr>
      <w:r>
        <w:rPr>
          <w:rFonts w:ascii="Arial" w:hAnsi="Arial"/>
          <w:sz w:val="22"/>
        </w:rPr>
        <w:t xml:space="preserve">Brasil. 2010. Lei n. 12.288, de 20 de julho de 2010. Institui o Estatuto da Igualdade Racial. Diário Oficial da União, Brasília, 21 jul. 2010. Seção 1, p. 1.</w:t>
      </w:r>
    </w:p>
    <w:bookmarkEnd w:id="139"/>
    <w:bookmarkStart w:id="140" w:name="ref-brasil2012lei12711"/>
    <w:p>
      <w:pPr>
        <w:pStyle w:val="Bibliography"/>
        <w:spacing w:line="240" w:lineRule="auto" w:before="0" w:after="120"/>
        <w:ind w:firstLine="0" w:left="0"/>
        <w:jc w:val="left"/>
      </w:pPr>
      <w:r>
        <w:rPr>
          <w:rFonts w:ascii="Arial" w:hAnsi="Arial"/>
          <w:sz w:val="22"/>
        </w:rPr>
        <w:t xml:space="preserve">Brasil. 2012. Lei n. 12.711, de 29 de agosto de 2012. Dispõe sobre o ingresso nas universidades federais e nas instituições federais de ensino técnico de nível médio. Diário Oficial da União, Brasília, 30 ago. 2012. Seção 1, p. 1.</w:t>
      </w:r>
    </w:p>
    <w:bookmarkEnd w:id="140"/>
    <w:bookmarkStart w:id="141" w:name="ref-brasil2014lei12990"/>
    <w:p>
      <w:pPr>
        <w:pStyle w:val="Bibliography"/>
        <w:spacing w:line="240" w:lineRule="auto" w:before="0" w:after="120"/>
        <w:ind w:firstLine="0" w:left="0"/>
        <w:jc w:val="left"/>
      </w:pPr>
      <w:r>
        <w:rPr>
          <w:rFonts w:ascii="Arial" w:hAnsi="Arial"/>
          <w:sz w:val="22"/>
        </w:rPr>
        <w:t xml:space="preserve">Brasil. 2014. 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 Diário Oficial da União, Brasília, 10 jun. 2014. Seção 1, p. 3.</w:t>
      </w:r>
    </w:p>
    <w:bookmarkEnd w:id="141"/>
    <w:bookmarkStart w:id="142" w:name="ref-brasil2023decreto11443"/>
    <w:p>
      <w:pPr>
        <w:pStyle w:val="Bibliography"/>
        <w:spacing w:line="240" w:lineRule="auto" w:before="0" w:after="120"/>
        <w:ind w:firstLine="0" w:left="0"/>
        <w:jc w:val="left"/>
      </w:pPr>
      <w:r>
        <w:rPr>
          <w:rFonts w:ascii="Arial" w:hAnsi="Arial"/>
          <w:sz w:val="22"/>
        </w:rPr>
        <w:t xml:space="preserve">Brasil. 2023a. Decreto n. 11.443, de 21 de março de 2023. Dispõe sobre o preenchimento por pessoas negras de percentual mínimo de cargos em comissão e funções de confiança no âmbito da administração pública federal. Diário Oficial da União, Brasília, 22 mar. 2023. Seção 1, p. 1.</w:t>
      </w:r>
    </w:p>
    <w:bookmarkEnd w:id="142"/>
    <w:bookmarkStart w:id="143" w:name="ref-brasil2023lei14611"/>
    <w:p>
      <w:pPr>
        <w:pStyle w:val="Bibliography"/>
        <w:spacing w:line="240" w:lineRule="auto" w:before="0" w:after="120"/>
        <w:ind w:firstLine="0" w:left="0"/>
        <w:jc w:val="left"/>
      </w:pPr>
      <w:r>
        <w:rPr>
          <w:rFonts w:ascii="Arial" w:hAnsi="Arial"/>
          <w:sz w:val="22"/>
        </w:rPr>
        <w:t xml:space="preserve">Brasil. 2023b. Lei n. 14.611, de 3 de julho de 2023. Dispõe sobre a igualdade salarial e de critérios remuneratórios entre mulheres e homens. Diário Oficial da União, Brasília, 4 jul. 2023. Seção 1, p. 1.</w:t>
      </w:r>
    </w:p>
    <w:bookmarkEnd w:id="143"/>
    <w:bookmarkStart w:id="144" w:name="ref-brasil2023lei14723"/>
    <w:p>
      <w:pPr>
        <w:pStyle w:val="Bibliography"/>
        <w:spacing w:line="240" w:lineRule="auto" w:before="0" w:after="120"/>
        <w:ind w:firstLine="0" w:left="0"/>
        <w:jc w:val="left"/>
      </w:pPr>
      <w:r>
        <w:rPr>
          <w:rFonts w:ascii="Arial" w:hAnsi="Arial"/>
          <w:sz w:val="22"/>
        </w:rPr>
        <w:t xml:space="preserve">Brasil. 2023c. Lei n. 14.723, de 13 de novembro de 2023. Altera a Lei n. 12.711, de 29 de agosto de 2012, para dispor sobre o programa especial para o acesso às instituições federais de educação superior e de ensino técnico de nível médio. Diário Oficial da União, Brasília, 14 nov. 2023. Seção 1, p. 5.</w:t>
      </w:r>
    </w:p>
    <w:bookmarkEnd w:id="144"/>
    <w:bookmarkStart w:id="145" w:name="ref-brasil2025lei15142"/>
    <w:p>
      <w:pPr>
        <w:pStyle w:val="Bibliography"/>
        <w:spacing w:line="240" w:lineRule="auto" w:before="0" w:after="120"/>
        <w:ind w:firstLine="0" w:left="0"/>
        <w:jc w:val="left"/>
      </w:pPr>
      <w:r>
        <w:rPr>
          <w:rFonts w:ascii="Arial" w:hAnsi="Arial"/>
          <w:sz w:val="22"/>
        </w:rPr>
        <w:t xml:space="preserve">Brasil. 2025. Lei n. 15.142, de 3 de junho de 2025. Dispõe sobre a reserva às pessoas pretas e pardas, indígenas e quilombolas de vagas oferecidas em concursos públicos e em processos seletivos simplificados no âmbito da administração pública federal. Diário Oficial da União, Brasília, 4 jun. 2025. Seção 1, p. 1.</w:t>
      </w:r>
    </w:p>
    <w:bookmarkEnd w:id="145"/>
    <w:bookmarkStart w:id="146" w:name="ref-breiman2001"/>
    <w:p>
      <w:pPr>
        <w:pStyle w:val="Bibliography"/>
        <w:spacing w:line="240" w:lineRule="auto" w:before="0" w:after="120"/>
        <w:ind w:firstLine="0" w:left="0"/>
        <w:jc w:val="left"/>
      </w:pPr>
      <w:r>
        <w:rPr>
          <w:rFonts w:ascii="Arial" w:hAnsi="Arial"/>
          <w:sz w:val="22"/>
        </w:rPr>
        <w:t>Breiman, L. 2001. Random forests. Machine Learning 45(1): 5-32.</w:t>
      </w:r>
    </w:p>
    <w:bookmarkEnd w:id="146"/>
    <w:bookmarkStart w:id="147" w:name="ref-cameron2008"/>
    <w:p>
      <w:pPr>
        <w:pStyle w:val="Bibliography"/>
        <w:spacing w:line="240" w:lineRule="auto" w:before="0" w:after="120"/>
        <w:ind w:firstLine="0" w:left="0"/>
        <w:jc w:val="left"/>
      </w:pPr>
      <w:r>
        <w:rPr>
          <w:rFonts w:ascii="Arial" w:hAnsi="Arial"/>
          <w:sz w:val="22"/>
        </w:rPr>
        <w:t>Cameron, A.C.; Gelbach, J.B.; Miller, D.L. 2008. Bootstrap-based improvements for inference with clustered errors. The Review of Economics and Statistics 90(3): 414-427.</w:t>
      </w:r>
    </w:p>
    <w:bookmarkEnd w:id="147"/>
    <w:bookmarkStart w:id="148" w:name="ref-chen2016"/>
    <w:p>
      <w:pPr>
        <w:pStyle w:val="Bibliography"/>
        <w:spacing w:line="240" w:lineRule="auto" w:before="0" w:after="120"/>
        <w:ind w:firstLine="0" w:left="0"/>
        <w:jc w:val="left"/>
      </w:pPr>
      <w:r>
        <w:rPr>
          <w:rFonts w:ascii="Arial" w:hAnsi="Arial"/>
          <w:sz w:val="22"/>
        </w:rPr>
        <w:t>Chen, T.; Guestrin, C. 2016.</w:t>
      </w:r>
      <w:r>
        <w:rPr>
          <w:rFonts w:ascii="Arial" w:hAnsi="Arial"/>
          <w:sz w:val="22"/>
        </w:rPr>
        <w:t xml:space="preserve"> </w:t>
      </w:r>
      <w:r>
        <w:rPr>
          <w:rFonts w:ascii="Arial" w:hAnsi="Arial"/>
          <w:sz w:val="22"/>
        </w:rPr>
        <w:t xml:space="preserve">XGBoost</w:t>
      </w:r>
      <w:r>
        <w:rPr>
          <w:rFonts w:ascii="Arial" w:hAnsi="Arial"/>
          <w:sz w:val="22"/>
        </w:rPr>
        <w:t>: a scalable tree boosting system. In: ACM SIGKDD International Conference on Knowledge Discovery and Data Mining, 22, 2016, San Francisco, CA, EUA. Anais... p. 785-794.</w:t>
      </w:r>
    </w:p>
    <w:bookmarkEnd w:id="148"/>
    <w:bookmarkStart w:id="149" w:name="ref-crenshaw1989"/>
    <w:p>
      <w:pPr>
        <w:pStyle w:val="Bibliography"/>
        <w:spacing w:line="240" w:lineRule="auto" w:before="0" w:after="120"/>
        <w:ind w:firstLine="0" w:left="0"/>
        <w:jc w:val="left"/>
      </w:pPr>
      <w:r>
        <w:rPr>
          <w:rFonts w:ascii="Arial" w:hAnsi="Arial"/>
          <w:sz w:val="22"/>
        </w:rPr>
        <w:t>Crenshaw, K. 1989. Demarginalizing the intersection of race and sex: a black feminist critique of antidiscrimination doctrine. University of Chicago Legal Forum 1989(1): 139-167.</w:t>
      </w:r>
    </w:p>
    <w:bookmarkEnd w:id="149"/>
    <w:bookmarkStart w:id="150" w:name="ref-duan1983"/>
    <w:p>
      <w:pPr>
        <w:pStyle w:val="Bibliography"/>
        <w:spacing w:line="240" w:lineRule="auto" w:before="0" w:after="120"/>
        <w:ind w:firstLine="0" w:left="0"/>
        <w:jc w:val="left"/>
      </w:pPr>
      <w:r>
        <w:rPr>
          <w:rFonts w:ascii="Arial" w:hAnsi="Arial"/>
          <w:sz w:val="22"/>
        </w:rPr>
        <w:t>Duan, N. 1983. Smearing estimate: a nonparametric retransformation method. Journal of the American Statistical Association 78(383): 605-610.</w:t>
      </w:r>
    </w:p>
    <w:bookmarkEnd w:id="150"/>
    <w:bookmarkStart w:id="151" w:name="ref-favero2024"/>
    <w:p>
      <w:pPr>
        <w:pStyle w:val="Bibliography"/>
        <w:spacing w:line="240" w:lineRule="auto" w:before="0" w:after="120"/>
        <w:ind w:firstLine="0" w:left="0"/>
        <w:jc w:val="left"/>
      </w:pPr>
      <w:r>
        <w:rPr>
          <w:rFonts w:ascii="Arial" w:hAnsi="Arial"/>
          <w:sz w:val="22"/>
        </w:rPr>
        <w:t>Fávero, L.P.; Belfiore, P. 2024. Manual de Análise de Dados: Estatística e machine learning com Excel, SPSS, Stata, R e Python. 2ed. GEN LTC, Rio de Janeiro, RJ, Brasil.</w:t>
      </w:r>
    </w:p>
    <w:bookmarkEnd w:id="151"/>
    <w:bookmarkStart w:id="152" w:name="ref-firpo2018"/>
    <w:p>
      <w:pPr>
        <w:pStyle w:val="Bibliography"/>
        <w:spacing w:line="240" w:lineRule="auto" w:before="0" w:after="120"/>
        <w:ind w:firstLine="0" w:left="0"/>
        <w:jc w:val="left"/>
      </w:pPr>
      <w:r>
        <w:rPr>
          <w:rFonts w:ascii="Arial" w:hAnsi="Arial"/>
          <w:sz w:val="22"/>
        </w:rPr>
        <w:t>Firpo, S.P.; Fortin, N.M.; Lemieux, T. 2018. Decomposing wage distributions using recentered influence function regressions. Econometrics 6(2): 28.</w:t>
      </w:r>
    </w:p>
    <w:bookmarkEnd w:id="152"/>
    <w:bookmarkStart w:id="153" w:name="ref-frank2013"/>
    <w:p>
      <w:pPr>
        <w:pStyle w:val="Bibliography"/>
        <w:spacing w:line="240" w:lineRule="auto" w:before="0" w:after="120"/>
        <w:ind w:firstLine="0" w:left="0"/>
        <w:jc w:val="left"/>
      </w:pPr>
      <w:r>
        <w:rPr>
          <w:rFonts w:ascii="Arial" w:hAnsi="Arial"/>
          <w:sz w:val="22"/>
        </w:rPr>
        <w:t>Frank, K.A.; Maroulis, S.J.; Duong, M.Q.; Kelcey, B.M. 2013. What would it take to change an inference? Using</w:t>
      </w:r>
      <w:r>
        <w:rPr>
          <w:rFonts w:ascii="Arial" w:hAnsi="Arial"/>
          <w:sz w:val="22"/>
        </w:rPr>
        <w:t xml:space="preserve"> </w:t>
      </w:r>
      <w:r>
        <w:rPr>
          <w:rFonts w:ascii="Arial" w:hAnsi="Arial"/>
          <w:sz w:val="22"/>
        </w:rPr>
        <w:t xml:space="preserve">R</w:t>
      </w:r>
      <w:r>
        <w:rPr>
          <w:rFonts w:ascii="Arial" w:hAnsi="Arial"/>
          <w:sz w:val="22"/>
        </w:rPr>
        <w:t>ubin’s causal model to interpret the robustness of causal inferences. Educational Evaluation and Policy Analysis 35(4): 437-460.</w:t>
      </w:r>
    </w:p>
    <w:bookmarkEnd w:id="153"/>
    <w:bookmarkStart w:id="154" w:name="ref-geron2021"/>
    <w:p>
      <w:pPr>
        <w:pStyle w:val="Bibliography"/>
        <w:spacing w:line="240" w:lineRule="auto" w:before="0" w:after="120"/>
        <w:ind w:firstLine="0" w:left="0"/>
        <w:jc w:val="left"/>
      </w:pPr>
      <w:r>
        <w:rPr>
          <w:rFonts w:ascii="Arial" w:hAnsi="Arial"/>
          <w:sz w:val="22"/>
        </w:rPr>
        <w:t xml:space="preserve">Géron, A. 2021. Mãos à Obra: Aprendizado de máquina com Scikit-Learn, Keras &amp; TensorFlow: conceitos, ferramentas e técnicas para a construção de sistemas inteligentes. 2ed. Alta Books, Rio de Janeiro, RJ, Brasil.</w:t>
      </w:r>
    </w:p>
    <w:bookmarkEnd w:id="154"/>
    <w:bookmarkStart w:id="155" w:name="ref-granovetter1973"/>
    <w:p>
      <w:pPr>
        <w:pStyle w:val="Bibliography"/>
        <w:spacing w:line="240" w:lineRule="auto" w:before="0" w:after="120"/>
        <w:ind w:firstLine="0" w:left="0"/>
        <w:jc w:val="left"/>
      </w:pPr>
      <w:r>
        <w:rPr>
          <w:rFonts w:ascii="Arial" w:hAnsi="Arial"/>
          <w:sz w:val="22"/>
        </w:rPr>
        <w:t>Granovetter, M.S. 1973. The strength of weak ties. American Journal of Sociology 78(6): 1360-1380.</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 1979. Discriminação e Desigualdades Raciais no Brasil. Graal, Rio de Janeiro, RJ, Brasil.</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 2001. Desigualdade Racial no Brasil: Evolução das condições de vida na década de 90. Texto para Discussão 807. Instituto de Pesquisa Econômica Aplicada, Rio de Janeiro, RJ, Brasil.</w:t>
      </w:r>
    </w:p>
    <w:bookmarkEnd w:id="157"/>
    <w:bookmarkStart w:id="158" w:name="ref-ibge_pof_2019"/>
    <w:p>
      <w:pPr>
        <w:pStyle w:val="Bibliography"/>
        <w:spacing w:line="240" w:lineRule="auto" w:before="0" w:after="120"/>
        <w:ind w:firstLine="0" w:left="0"/>
        <w:jc w:val="left"/>
      </w:pPr>
      <w:r>
        <w:rPr>
          <w:rFonts w:ascii="Arial" w:hAnsi="Arial"/>
          <w:sz w:val="22"/>
        </w:rPr>
        <w:t xml:space="preserve">Instituto Brasileiro de Geografia e Estatística [IBGE]. 2019. Pesquisa de Orçamentos Familiares 2017-2018: Análise da qualidade de vida (índice de perda de qualidade de vida). Instituto Brasileiro de Geografia e Estatística, Rio de Janeiro, RJ, Brasil.</w:t>
      </w:r>
    </w:p>
    <w:bookmarkEnd w:id="158"/>
    <w:bookmarkStart w:id="159" w:name="ref-ibge_pnad_2023"/>
    <w:p>
      <w:pPr>
        <w:pStyle w:val="Bibliography"/>
        <w:spacing w:line="240" w:lineRule="auto" w:before="0" w:after="120"/>
        <w:ind w:firstLine="0" w:left="0"/>
        <w:jc w:val="left"/>
      </w:pPr>
      <w:r>
        <w:rPr>
          <w:rFonts w:ascii="Arial" w:hAnsi="Arial"/>
          <w:sz w:val="22"/>
        </w:rPr>
        <w:t xml:space="preserve">Instituto Brasileiro de Geografia e Estatística [IBGE]. 2023. Pesquisa Nacional por Amostra de Domicílios Contínua: Notas metodológicas. Instituto Brasileiro de Geografia e Estatística, Rio de Janeiro, RJ, Brasil.</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Instituto Brasileiro de Geografia e Estatística [IBGE]. 2025. Pesquisa Nacional por Amostra de Domicílios Contínua: Rendimento de todas as fontes 2025. Instituto Brasileiro de Geografia e Estatística, Rio de Janeiro, RJ, Brasil.</w:t>
      </w:r>
    </w:p>
    <w:bookmarkEnd w:id="160"/>
    <w:bookmarkStart w:id="161" w:name="ref-koenker1978"/>
    <w:p>
      <w:pPr>
        <w:pStyle w:val="Bibliography"/>
        <w:spacing w:line="240" w:lineRule="auto" w:before="0" w:after="120"/>
        <w:ind w:firstLine="0" w:left="0"/>
        <w:jc w:val="left"/>
      </w:pPr>
      <w:r>
        <w:rPr>
          <w:rFonts w:ascii="Arial" w:hAnsi="Arial"/>
          <w:sz w:val="22"/>
        </w:rPr>
        <w:t>Koenker, R.; Bassett, G. 1978. Regression quantiles. Econometrica 46(1): 33-50.</w:t>
      </w:r>
    </w:p>
    <w:bookmarkEnd w:id="161"/>
    <w:bookmarkStart w:id="162" w:name="ref-lundberg2017"/>
    <w:p>
      <w:pPr>
        <w:pStyle w:val="Bibliography"/>
        <w:spacing w:line="240" w:lineRule="auto" w:before="0" w:after="120"/>
        <w:ind w:firstLine="0" w:left="0"/>
        <w:jc w:val="left"/>
      </w:pPr>
      <w:r>
        <w:rPr>
          <w:rFonts w:ascii="Arial" w:hAnsi="Arial"/>
          <w:sz w:val="22"/>
        </w:rPr>
        <w:t>Lundberg, S.M.; Lee, S.-I. 2017. A unified approach to interpreting model predictions. Advances in Neural Information Processing Systems 30: 4765-4774.</w:t>
      </w:r>
    </w:p>
    <w:bookmarkEnd w:id="162"/>
    <w:bookmarkStart w:id="163" w:name="ref-manski1993"/>
    <w:p>
      <w:pPr>
        <w:pStyle w:val="Bibliography"/>
        <w:spacing w:line="240" w:lineRule="auto" w:before="0" w:after="120"/>
        <w:ind w:firstLine="0" w:left="0"/>
        <w:jc w:val="left"/>
      </w:pPr>
      <w:r>
        <w:rPr>
          <w:rFonts w:ascii="Arial" w:hAnsi="Arial"/>
          <w:sz w:val="22"/>
        </w:rPr>
        <w:t>Manski, C.F. 1993. Identification of endogenous social effects: the reflection problem. Review of Economic Studies 60(3): 531-542.</w:t>
      </w:r>
    </w:p>
    <w:bookmarkEnd w:id="163"/>
    <w:bookmarkStart w:id="164" w:name="ref-marques2010"/>
    <w:p>
      <w:pPr>
        <w:pStyle w:val="Bibliography"/>
        <w:spacing w:line="240" w:lineRule="auto" w:before="0" w:after="120"/>
        <w:ind w:firstLine="0" w:left="0"/>
        <w:jc w:val="left"/>
      </w:pPr>
      <w:r>
        <w:rPr>
          <w:rFonts w:ascii="Arial" w:hAnsi="Arial"/>
          <w:sz w:val="22"/>
        </w:rPr>
        <w:t>Marques, E. 2010. Redes sociais, segregação e pobreza em São Paulo. Dados: Revista de Ciências Sociais 53(1): 5-50.</w:t>
      </w:r>
    </w:p>
    <w:bookmarkEnd w:id="164"/>
    <w:bookmarkStart w:id="165" w:name="ref-oaxaca1973"/>
    <w:p>
      <w:pPr>
        <w:pStyle w:val="Bibliography"/>
        <w:spacing w:line="240" w:lineRule="auto" w:before="0" w:after="120"/>
        <w:ind w:firstLine="0" w:left="0"/>
        <w:jc w:val="left"/>
      </w:pPr>
      <w:r>
        <w:rPr>
          <w:rFonts w:ascii="Arial" w:hAnsi="Arial"/>
          <w:sz w:val="22"/>
        </w:rPr>
        <w:t>Oaxaca, R. 1973. Male-female wage differentials in urban labor markets. International Economic Review 14(3): 693-709.</w:t>
      </w:r>
    </w:p>
    <w:bookmarkEnd w:id="165"/>
    <w:bookmarkStart w:id="166" w:name="ref-oaxaca_ransom1999"/>
    <w:p>
      <w:pPr>
        <w:pStyle w:val="Bibliography"/>
        <w:spacing w:line="240" w:lineRule="auto" w:before="0" w:after="120"/>
        <w:ind w:firstLine="0" w:left="0"/>
        <w:jc w:val="left"/>
      </w:pPr>
      <w:r>
        <w:rPr>
          <w:rFonts w:ascii="Arial" w:hAnsi="Arial"/>
          <w:sz w:val="22"/>
        </w:rPr>
        <w:t>Oaxaca, R.L.; Ransom, M.R. 1999. Identification in detailed wage decompositions. Review of Economics and Statistics 81(1): 154-157.</w:t>
      </w:r>
    </w:p>
    <w:bookmarkEnd w:id="166"/>
    <w:bookmarkStart w:id="167" w:name="ref-pager2007"/>
    <w:p>
      <w:pPr>
        <w:pStyle w:val="Bibliography"/>
        <w:spacing w:line="240" w:lineRule="auto" w:before="0" w:after="120"/>
        <w:ind w:firstLine="0" w:left="0"/>
        <w:jc w:val="left"/>
      </w:pPr>
      <w:r>
        <w:rPr>
          <w:rFonts w:ascii="Arial" w:hAnsi="Arial"/>
          <w:sz w:val="22"/>
        </w:rPr>
        <w:t xml:space="preserve">Pager, D. 2007. Marked: Race, crime, and finding work in an era of mass incarceration. University of Chicago Press, Chicago, IL, EUA.</w:t>
      </w:r>
    </w:p>
    <w:bookmarkEnd w:id="167"/>
    <w:bookmarkStart w:id="168" w:name="ref-raudenbush2002"/>
    <w:p>
      <w:pPr>
        <w:pStyle w:val="Bibliography"/>
        <w:spacing w:line="240" w:lineRule="auto" w:before="0" w:after="120"/>
        <w:ind w:firstLine="0" w:left="0"/>
        <w:jc w:val="left"/>
      </w:pPr>
      <w:r>
        <w:rPr>
          <w:rFonts w:ascii="Arial" w:hAnsi="Arial"/>
          <w:sz w:val="22"/>
        </w:rPr>
        <w:t>Raudenbush, S.W.; Bryk, A.S. 2002. Hierarchical Linear Models: Applications and data analysis methods. 2ed. Sage, Thousand Oaks, CA, EUA.</w:t>
      </w:r>
    </w:p>
    <w:bookmarkEnd w:id="168"/>
    <w:bookmarkStart w:id="169" w:name="ref-sampson1997"/>
    <w:p>
      <w:pPr>
        <w:pStyle w:val="Bibliography"/>
        <w:spacing w:line="240" w:lineRule="auto" w:before="0" w:after="120"/>
        <w:ind w:firstLine="0" w:left="0"/>
        <w:jc w:val="left"/>
      </w:pPr>
      <w:r>
        <w:rPr>
          <w:rFonts w:ascii="Arial" w:hAnsi="Arial"/>
          <w:sz w:val="22"/>
        </w:rPr>
        <w:t>Sampson, R.J.; Raudenbush, S.W.; Earls, F. 1997. Neighborhoods and violent crime: a multilevel study of collective efficacy. Science 277(5328): 918-924.</w:t>
      </w:r>
    </w:p>
    <w:bookmarkEnd w:id="169"/>
    <w:bookmarkStart w:id="170" w:name="ref-soares2009"/>
    <w:p>
      <w:pPr>
        <w:pStyle w:val="Bibliography"/>
        <w:spacing w:line="240" w:lineRule="auto" w:before="0" w:after="120"/>
        <w:ind w:firstLine="0" w:left="0"/>
        <w:jc w:val="left"/>
      </w:pPr>
      <w:r>
        <w:rPr>
          <w:rFonts w:ascii="Arial" w:hAnsi="Arial"/>
          <w:sz w:val="22"/>
        </w:rPr>
        <w:t>Soares, S. 2009. Desigualdade racial de renda no Brasil: 1976-2006. Estudos Econômicos 39(4): 803-825.</w:t>
      </w:r>
    </w:p>
    <w:bookmarkEnd w:id="170"/>
    <w:bookmarkStart w:id="171" w:name="ref-telles2004"/>
    <w:p>
      <w:pPr>
        <w:pStyle w:val="Bibliography"/>
        <w:spacing w:line="240" w:lineRule="auto" w:before="0" w:after="120"/>
        <w:ind w:firstLine="0" w:left="0"/>
        <w:jc w:val="left"/>
      </w:pPr>
      <w:r>
        <w:rPr>
          <w:rFonts w:ascii="Arial" w:hAnsi="Arial"/>
          <w:sz w:val="22"/>
        </w:rPr>
        <w:t xml:space="preserve">Telles, E.E. 2004. Race in Another America: The significance of skin color in Brazil. Princeton University Press, Princeton, NJ, EUA.</w:t>
      </w:r>
    </w:p>
    <w:bookmarkEnd w:id="171"/>
    <w:bookmarkStart w:id="172" w:name="ref-vanderweele2017"/>
    <w:p>
      <w:pPr>
        <w:pStyle w:val="Bibliography"/>
        <w:spacing w:line="240" w:lineRule="auto" w:before="0" w:after="120"/>
        <w:ind w:firstLine="0" w:left="0"/>
        <w:jc w:val="left"/>
      </w:pPr>
      <w:r>
        <w:rPr>
          <w:rFonts w:ascii="Arial" w:hAnsi="Arial"/>
          <w:sz w:val="22"/>
        </w:rPr>
        <w:t>VanderWeele, T.J.; Ding, P. 2017. Sensitivity analysis in observational research: introducing the</w:t>
      </w:r>
      <w:r>
        <w:rPr>
          <w:rFonts w:ascii="Arial" w:hAnsi="Arial"/>
          <w:sz w:val="22"/>
        </w:rPr>
        <w:t xml:space="preserve"> </w:t>
      </w:r>
      <w:r>
        <w:rPr>
          <w:rFonts w:ascii="Arial" w:hAnsi="Arial"/>
          <w:sz w:val="22"/>
        </w:rPr>
        <w:t xml:space="preserve">E</w:t>
      </w:r>
      <w:r>
        <w:rPr>
          <w:rFonts w:ascii="Arial" w:hAnsi="Arial"/>
          <w:sz w:val="22"/>
        </w:rPr>
        <w:t>-value. Annals of Internal Medicine 167(4): 268-274.</w:t>
      </w:r>
    </w:p>
    <w:bookmarkEnd w:id="172"/>
    <w:bookmarkStart w:id="174" w:name="ref-wilm2026"/>
    <w:p>
      <w:pPr>
        <w:pStyle w:val="Bibliography"/>
        <w:spacing w:line="240" w:lineRule="auto" w:before="0" w:after="120"/>
        <w:ind w:firstLine="0" w:left="0"/>
        <w:jc w:val="left"/>
      </w:pPr>
      <w:r>
        <w:rPr>
          <w:rFonts w:ascii="Arial" w:hAnsi="Arial"/>
          <w:sz w:val="22"/>
        </w:rPr>
        <w:t>Wilm, M.; Santos, D.; Coelho, L.; Marangoni, S.; Lima, R.C.; Gonçalves, G.; Verissimo, B. 2026. Índice de Progresso Social Brasil 2026: Resumo executivo. Imazon, Belém, PA, Brasil. Disponível em: &lt;</w:t>
      </w:r>
      <w:hyperlink r:id="rId173">
        <w:r>
          <w:rPr>
            <w:rStyle w:val="Hyperlink"/>
          </w:rPr>
          <w:t xml:space="preserve">https://imazon.org.br/relatorios/indice-de-progresso-social-brasil-2026</w:t>
        </w:r>
      </w:hyperlink>
      <w:r>
        <w:rPr>
          <w:rFonts w:ascii="Arial" w:hAnsi="Arial"/>
          <w:sz w:val="22"/>
        </w:rPr>
        <w:t xml:space="preserve">&gt;. Acesso em: 06 out. 2026.</w:t>
      </w:r>
    </w:p>
    <w:bookmarkEnd w:id="174"/>
    <w:bookmarkStart w:id="175" w:name="ref-wilson1987"/>
    <w:p>
      <w:pPr>
        <w:pStyle w:val="Bibliography"/>
        <w:spacing w:line="240" w:lineRule="auto" w:before="0" w:after="120"/>
        <w:ind w:firstLine="0" w:left="0"/>
        <w:jc w:val="left"/>
      </w:pPr>
      <w:r>
        <w:rPr>
          <w:rFonts w:ascii="Arial" w:hAnsi="Arial"/>
          <w:sz w:val="22"/>
        </w:rPr>
        <w:t xml:space="preserve">Wilson, W.J. 1987. The Truly Disadvantaged: The inner city, the underclass, and public policy. University of Chicago Press, Chicago, IL, EUA.</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4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3.</w:t>
      </w:r>
    </w:p>
  </w:footnote>
  <w:footnote w:id="4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3">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66">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8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7, o ajuste e a classificação.</w:t>
      </w:r>
    </w:p>
  </w:footnote>
  <w:footnote w:id="6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6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e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8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9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0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0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15">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1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(Instituto Brasileiro de Geografia e Estatística [IBGE], 2019, 2025)</w:t>
      </w:r>
      <w:r>
        <w:rPr>
          <w:sz w:val="18"/>
          <w:szCs w:val="18"/>
        </w:rPr>
        <w:t xml:space="preserve">.</w:t>
      </w:r>
    </w:p>
  </w:footnote>
  <w:footnote w:id="11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0" Type="http://schemas.openxmlformats.org/officeDocument/2006/relationships/image" Target="media/rId70.png"/><Relationship Id="rId54" Type="http://schemas.openxmlformats.org/officeDocument/2006/relationships/image" Target="media/rId54.png"/><Relationship Id="rId60" Type="http://schemas.openxmlformats.org/officeDocument/2006/relationships/image" Target="media/rId60.png"/><Relationship Id="rId80" Type="http://schemas.openxmlformats.org/officeDocument/2006/relationships/image" Target="media/rId80.png"/><Relationship Id="rId88" Type="http://schemas.openxmlformats.org/officeDocument/2006/relationships/image" Target="media/rId88.png"/><Relationship Id="rId44" Type="http://schemas.openxmlformats.org/officeDocument/2006/relationships/image" Target="media/rId44.png"/><Relationship Id="rId119" Type="http://schemas.openxmlformats.org/officeDocument/2006/relationships/image" Target="media/rId119.png"/><Relationship Id="rId48" Type="http://schemas.openxmlformats.org/officeDocument/2006/relationships/image" Target="media/rId48.png"/><Relationship Id="rId103" Type="http://schemas.openxmlformats.org/officeDocument/2006/relationships/image" Target="media/rId103.png"/><Relationship Id="rId109" Type="http://schemas.openxmlformats.org/officeDocument/2006/relationships/image" Target="media/rId109.png"/><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2026-10-06T15:53:33Z</dcterms:created>
  <dcterms:modified xsi:type="dcterms:W3CDTF">2026-10-06T15:53:33Z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C:\Users\user\Documents\ProjetoRacismoPNAD\tcc\scripts\bib_manual_esalq.bib</vt:lpwstr>
  </property>
  <property fmtid="{D5CDD505-2E9C-101B-9397-08002B2CF9AE}" pid="3" name="csl">
    <vt:lpwstr>C:\Users\user\Documents\ProjetoRacismoPNAD\tcc\scripts\esalq_mba.csl</vt:lpwstr>
  </property>
</Properties>
</file>