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9,80%,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0,693.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OR=0,676 — negros têm 32,4% menos chance. ICC M1=21,6%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OR=0,693 — após controlar o contexto local, negros têm 30,7% menos chance. ICC M2=10,7%.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−5,07 p.p.: sem controle de contexto, negros têm 5,07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−4,75 p.p.: com efeito aleatório de UPA, o efeito líquido de ser negro é −4,75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ICC=21,6%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36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HLM/GLMM/Oaxaca/Heckman/Oster).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preditor nº 1 é a RENDA MÉDIA DA UPA (bairro) — acima da escolaridade e de qualquer traço individual.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domínio do contexto no SHAP espelha a mediação contextual do HLM (~52% via UPA). Oaxaca: importância direta pequena da raça ↔ gap majoritariamente de dotações. GLMM: o ML modela RENDA, o GLMM modela ACESSO (faces complementares). SNA: a parcela residual da raça + betweenness=0 explicam por que o diploma negro rende menos. PO: a importância SHAP ajuda a calibrar as prioridades das políticas.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a heterogeneidade geográfica (random slope) é inferencialmente real, mas adicionar UF ao ML não muda o R² (testado: 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−32,4%. Controlado: privado −34,5% / público −28,3%.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−18,6% / público −20,9%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ICC=9,80%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9,80%,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ICC=9,80%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M1=2,319; M2=2,243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ρ=0,45),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854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8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(ρ=0,65)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privado=0,698)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(7,7% vs 11,1%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0,049); ρ negativo (−0,46) — onde a penalidade racial é maior, a de gênero tende a ser menor.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Gênero no GLMM (acesso): mulheres têm MAIS acesso a ocupações qualificadas (OR=1,99&gt;1, profissões feminizadas), mas MUITO MENOS ao topo da renda (OR top10=0,518). Frase: 'o teto de vidro de gênero é de REMUNERAÇÃO, não de categoria' — e varia mais entre estados que o racial no topo (~10×).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M1=0,676 (sem contexto); OR M2=0,693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M1=21,6% | ICC M2=10,7%.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M1=−5,07 p.p. | AME M2=−4,75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