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9,83%,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0,691.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(≈53,0%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(6,2%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OR=0,674 — negros têm 32,6% menos chance. ICC M1=22,2% (variação entre UPAs elevada).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OR=0,691 — após controlar o contexto local, negros têm 30,9% menos chance. ICC M2=10,8%.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−5,16 p.p.: sem controle de contexto, negros têm 5,16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−4,84 p.p.: com efeito aleatório de UPA, o efeito líquido de ser negro é −4,84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ICC=22,2%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6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−3,2%; q50 ≈ −4,1%; q90 ≈ −7,1%;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9b — RIF-OB: Sticky Floor Discriminatório vs. Glass Ceiling por Dotações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0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f_ob_retornos_quant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RIF-OB incondicional por quantil (Firpo, Fortin &amp; Lemieux, 2018). Retornos (discriminação) vs Dotações por decil de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decil/quantil da distribuição incondicional de renda (q10=base, q90=topo).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componentes empilhados por quantil: Dotações (diferença de características) e Retornos (discriminação pura — o que persiste mesmo com características iguais).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RIF = Recentered Influence Function — permite decompor o gap em qualquer quantil incondicionalmente, sem condicionar ao quantil dentro de cada grupo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padrão sticky floor vs. glass ceiling: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q10 — base: Dotações=61,3%, Retornos=33,1%. Discriminação de preço é 3× mais intensa na BASE — efeito sticky floor (chão pegajoso).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q50 — mediana: Dotações=57,4%, Retornos=21,5%. Discriminação decai progressivamente.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q90 — topo: Dotações=75,8%, Retornos=11,2%. No topo, o gap é quase inteiramente por dotações — negros são EXCLUÍDOS das posições rentáveis (glass ceiling).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QR formaliza o glass ceiling condicional — o gap cresce no topo dentro de cada grupo. O RIF-OB faz a decomposição incondicional — permite perguntar: de onde vem esse gap maior no topo? A resposta é: no topo o mecanismo dominante é exclusão (dotações = 75,8%), não discriminação salarial direta. Na base, a discriminação de preço ainda responde por 33,1% do gap — o sticky floor discriminatório. São dois fenômenos distintos que coexistem.'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9c — Interseccionalidade: Oaxaca-Blinder por 4 Grupos Raça × Gênero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Referência: Homem Branco. Comparação: Mulher Branca, Homem Negro, Mulher Negra.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Para cada grupo, o gap total é decomposto em Dotações (características) e Retornos (discriminação direta).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M4: coeficiente da interação negro×sexo_fem = β=+0,069 — indica atenuação do gap racial para mulheres (raça e gênero interagem, não se somam linearmente).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 por grupo (referência: Homem Branco):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Branca: gap=46,6% — dotações negativas (−8,9%) / retornos 109% (retornos amplificam o gap: discriminação de gênero pura explica mais de 100%). Sem penalidade de raça.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Homem Negro: gap=40,3% — 71% dotações / 29% retornos. Discriminação racial direta explica ~29% do gap do homem negro.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Negra: gap=96,4% — maior gap de todos os grupos. Penalidade adicional por interseccionalidade: +9,5 p.p. além da soma de raça + gênero separados.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Mulher Negra não sofre apenas raça + gênero de forma aditiva — existe uma penalidade adicional de +9,5 p.p. que emerge especificamente da combinação dos dois eixos de opressão. Isso é a interseccionalidade no sentido de Crenshaw (1989): os eixos interagem, não se somam. O HLM confirma com β_neg×fem=+0,069 (***) — a discriminação racial é estatisticamente menor para mulheres negras do que se esperaria da soma linear.'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'Gap de 96,4% para mulher negra vs 40,3% para homem negro: a mulher negra experimenta uma dupla desvantagem que quase dobra o gap. Políticas de gênero e raça precisam ser desenhadas conjuntamente para esse grupo.'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6,2%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−33,3%. Controlado: privado −29,2% / público −25,2%.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−16,9% / público −18,8%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ICC=9,83%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9,83%,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ICC=9,83%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de Sensibilidade — Konfound, E-values e Oster δ*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(pkonfound): quantos casos precisariam ser trocados de trat./controle, ou qual % dos casos precisaria estar mal alocado, para reverter a conclusão. Quanto maior, mais robusto.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 (VanderWeele &amp; Ding, 2017): qual a magnitude mínima de uma variável omitida (como razão de risco) para anular o efeito observado. E-value ≥ 2 indica boa resistência.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qual proporção da variação total dos controles observados seria necessária nos não-observados para anular o efeito. δ* negativo confirma robustez (variáveis omitidas teriam que atuar na direção contrária).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HLM: M1=99,5%; M2=M3=98,8%; M4=98,5% — quase 100% dos casos precisariam ser mal alocados para reverter a conclusão de discriminação.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 subestima: gap OLS=43,8%–48,5% vs HLM=50,8%–53,0% (Δ=5,4–9,7 p.p.) — o viés de subestimação do OLS fica em torno de 9,7 p.p. em M1 e 5,4 p.p. em M4.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E-values GLMM lme4 (PEA completa): M1=2,331; M2=2,254 — variável omitida precisaria ter associação ≥2,3× com raça E com acesso a ocupações para eliminar o 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M1=−0,48; M2=−0,43; M4=−0,39 — todos negativos, confirmando que variáveis omitidas teriam que atenuar (não amplificar) para anular o gap.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endogeneidade ou variáveis omitidas: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'Testei três frameworks de sensibilidade independentes. O pkonfound mostra que seria necessário reclassificar ~99% das observações para reverter a conclusão — impossível dado o N=7,7 milhões. O E-value ≥2,0 exige que uma variável omitida tenha associação dobrada com raça E com renda simultaneamente — sem candidato plausível. E o Oster δ* negativo significa que a seleção nas variáveis omitidas teria que ser na direção oposta à seleção observada. Os três convergem: o resultado é robusto.'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Complementares — Heckman, Tendência Temporal e Event Study COVID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Correção de Seleção Amostral (Heckman):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Problema: analisamos apenas quem tem renda (PEA ocupada). A seleção para participar do mercado de trabalho pode ser endógena — se negros participam menos, o gap observado é subestimado.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Modelo de seleção (Probit 1ª etapa): educação, idade, número de filhos, presença de cônjuge → gera lambda de Mills (λ).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λ=−1,985 (***) — seleção amostral significativa e negativa. Gap OLS=−9,71% → Gap Heckman=−7,41% (Δ=+2,3 p.p.): o gap bruto estava SUBESTIMADO; negros mais excluídos do mercado atenuavam o gap aparente.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Tendência Temporal e Teste de Chow: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anual estimado: a discriminação racial mantém-se estável ao longo do período (tendência linear δ=0,0008/ano, não significativa).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Teste de Chow (2020): F(2,6)=7,012; p=0,027 — quebra estrutural significativa em 2020 (pandemia). O gap racial NÃO teve convergência pré-COVID.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Event Study COVID (DiD):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Tratamento: pós-2020 (COVID). Estimativa: τ=+0,015; SE=0,007; p=0,025.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Interpretação: τ=+0,015 indica **convergência aparente** de curto prazo — o gap reduziu-se 1,5 p.p. após 2020. Provável seleção de saída: negros de menor renda saíram do mercado formal, elevando a renda relativa dos que ficaram.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 sobre essas análises: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Heckman resolve a crítica de que estamos vendo apenas os 'bem-sucedidos'. O resultado (λ negativo e gap que cresce com a correção) indica que a exclusão racial do mercado de trabalho é real e que os excluídos estariam em situação ainda pior.'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Chow mostra quebra estrutural em 2020. O DiD mostra convergência aparente de curto prazo (τ=+0.015): negros sofreram menos no diferencial salarial, mas provavelmente por seleção de saída — não por melhora real. O gap de longo prazo permanece estável.'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— Priorização de Políticas (TOPSIS, AHP, LP)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 (Pesquisa Operacional) transforma o diagnóstico empírico em recomendações de política priorizadas objetivamente. Sem PO, a dissertação terminaria com 'há discriminação' — com PO, termina com 'e aqui está a política mais custo-eficaz para combatê-la, formalmente justificada'.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Métodos: TOPSIS (ranking multicritério), AHP (pesos dos critérios, CR=0,004 ← consistente), LP (Programação Linear com restrição orçamentária), Pareto frontier (eficiência custo × impacto).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TOPSIS — Ranking de Políticas (critérios: impacto no gap, custo, viabilidade, prazo):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Cotas em CBO 1–4 (P1): CC=0,834 — política mais próxima da 'solução ideal'. Ataca diretamente o mecanismo de exclusão de acesso a ocupações qualificadas que explica 84% do gap via dotações.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Equidade Educacional (P2): CC=0,588 — segunda mais eficiente. Reduz o componente de dotações educacionais.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 Mentoria e Redes (P3): CC=0,396 — responde diretamente ao achado da SNA (betweenness=0 para negros = sem capital social estrutural).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#4 Transparência Salarial (P4): CC=0,342 — ataca os retornos diferenciais (16%).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PL-1 (Cotas CBO): projeta redução de 25,1% do gap bruto em simulações de LP.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AHP — Consistência dos Pesos: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CR=0,004 (&lt; 0,10 = aceitável). A matriz de comparação por pares de critérios é consistente — os pesos refletem preferências racionais e transitivas.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PO: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PO não é um método avaliativo adicional — é a tradução dos resultados empíricos em ação. A decomposição OB mostra que 84% do gap é de dotações → isso informa os pesos do TOPSIS. A SNA mostra que betweenness=0 → isso entra no critério de viabilidade da política P3. Os métodos são encadeados: diagnóstico → priorização → simulação.'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TOPSIS é um método multi-critério MCDM clássico (Hwang &amp; Yoon, 1981). Ele ranqueia alternativas pela distância relativa à solução ideal e à pior solução. CR&lt;0,10 no AHP é o padrão de consistência de Saaty (1980) — garantia de que os pesos derivados da comparação por pares são internamente consistentes.'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Regionalizada — Focalização Territorial (BLUP por UF)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Extensão da PO que usa o achado do random slope (M3): a penalidade racial NÃO é homogênea entre estados (LRT p&lt;0,001). Em vez de tratar o gap como um número nacional, usa-se o BLUP do MixedLM como gap específico de cada uma das 27 UFs, e um programa linear aloca o orçamento priorizando os estados de maior penalidade.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 central: focalizar o orçamento nas UFs mais críticas reduz o gap agregado 68,2% acima da alocação uniforme com orçamento intermediário (B=9 UFs) — e até 125,5% quando o orçamento é escasso (B=3). O ganho vem só da focalização (a efetividade da política é mantida constante entre estados).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Prioridades: DF, AM, TO, PA, AC (maior penalidade × maior população negra afetada). Amplitude: DF −20,9% → MG −1,4%. As maiores penalidades concentram-se no Distrito Federal e no Norte — estados mais ricos têm penalidade maior.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Decisão metodológica: a base oficial é o BLUP do modelo misto, NÃO a aproximação rápida por OLS estadual + shrinkage empirical Bayes. Os dois divergem (Spearman ρ=0,42), pois o BLUP mantém os coeficientes de controle agrupados nacionalmente enquanto o OLS estadual os libera — não são intercambiáveis.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a PO regionalizada: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random slope provou heterogeneidade geográfica; a PO regional traduz isso em prescrição: como o gap varia de ~−1% a ~−21% entre UFs, espalhar o orçamento por igual é subótimo. Concentrar nas UFs de maior penalidade entrega até dois terços a mais de redução com o mesmo recurso — argumento direto a favor de um desenho federativo diferenciado de política.'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'Usei os BLUPs (estimadores empíricos de Bayes do modelo misto), não OLS por estado. Mostrei formalmente que eles divergem (Spearman ≈0,42) porque o OLS estadual libera todos os coeficientes de controle, enquanto o modelo misto os mantém nacionais — o BLUP é a estimativa principiada e coerente com o random slope já reportado.'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83189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83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Mapa de calor — penalidade racial salarial por estado (mais escuro = maior desvantagem; ★ = estados prioritários para focalizar o orçamento).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Random slope também no GLMM (acesso) — versão real (lme4), não proxy: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random slope de negro foi estimado de verdade (lme4::glmer, população completa) nos três desfechos de acesso/teto. O LRT rejeita τ²=0 em todos (p&lt;0,001): a barreira de ACESSO varia entre estados, como o salário — os dois mecanismos da discriminação são geográficos.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Contraste a destacar: o gap salarial é MAIOR nos estados ricos (ρ=−0,37), mas a barreira de acesso a cargos qualificados é MENOR neles (ρ=0,64) — acesso mais fácil onde há mais empregos qualificados, porém gap salarial maior uma vez dentro.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Setor: o concurso público NÃO dissolve a barreira de acesso (OR público=0,705 ≈ privado=0,695) nem a homogeneíza entre UFs — refina 'o Estado ajuda, mas não resolve'.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Contraste SALÁRIO × ACESSO (HLM por setor): no salário o público ATENUA o gap racial (7,8% vs 11,2% privado) e o homogeneíza entre UFs; no acesso, não. Frase de defesa: 'o concurso equaliza o pagamento de quem entra, não a entrada'.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Nível de gênero (HLM): o gap de gênero também varia entre estados (LRT p&lt;0,001), com dispersão MAIOR que o racial (DP 0,064 vs 0,050); ρ negativo (−0,46) — onde a penalidade racial é maior, a de gênero tende a ser menor.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M1=0,674 (sem contexto); OR M2=0,691 (com efeito aleatório de UPA).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M1=22,2% | ICC M2=10,8%.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M1=−5,16 p.p. | AME M2=−4,84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