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rPr>
          <w:rFonts w:ascii="Arial" w:hAnsi="Arial"/>
          <w:sz w:val="22"/>
        </w:rPr>
        <w:t xml:space="preserve">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 </w:t>
      </w:r>
      <w:hyperlink w:anchor="tab:ml_cv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89" w:name="resultados-e-discus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Resultados e Discussão</w:t>
      </w:r>
    </w:p>
    <w:bookmarkStart w:id="38" w:name="subsec:hl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Esta seção documenta como o território amplifica o gap racial: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de moradia não é apenas contexto — é parte do mecanismo de exclusão.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hlm_resultados">
        <w:r>
          <w:rPr>
            <w:rStyle w:val="Hyperlink"/>
          </w:rPr>
          <w:t xml:space="preserve">2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os cinco degraus da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step-up</w:t>
      </w:r>
      <w:r>
        <w:rPr>
          <w:rFonts w:ascii="Arial" w:hAnsi="Arial"/>
          <w:sz w:val="22"/>
        </w:rPr>
        <w:t xml:space="preserve">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Nota: 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coluna acrescenta um bloco de controles e o coeficiente se aproxima de zero;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linhas de baixo dizem quanto da variância entre bairros cada bloco explica e se o degrau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melhora o ajuste (LR).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Quanto da renda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: o modelo nulo.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M0 estima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 variância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log-rendimento está entre bairros</w:t>
      </w:r>
      <w:r>
        <w:rPr>
          <w:rFonts w:ascii="Arial" w:hAnsi="Arial"/>
          <w:sz w:val="22"/>
        </w:rPr>
        <w:t xml:space="preserve">, muito acima do limiar de 5%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da parcela entre estados (cerca de 10%, no modelo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alternativo com UF aleatória usado como robustez). A estrutura aninhada não é um detalhe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técnico: ignorá-la trataria como independentes pessoas que compartilham o mesmo mercado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agregado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dentro do bairro (M1).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rPr>
          <w:rFonts w:ascii="Arial" w:hAnsi="Arial"/>
          <w:sz w:val="22"/>
        </w:rPr>
        <w:t xml:space="preserve">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 19,1% a menos 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). O M1 acrescenta o intercepto aleatório de UPA e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[−0,1135; −0,1113]),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 a menos</w:t>
      </w:r>
      <w:r>
        <w:rPr>
          <w:rFonts w:ascii="Arial" w:hAnsi="Arial"/>
          <w:sz w:val="22"/>
        </w:rPr>
        <w:t xml:space="preserve">. A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 dois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do gap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é a parcela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que transita pela segregação residencial: negros e brancos com o mesmo capital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humano não moram nos mesmos bairros, e os bairros pagam diferente.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H2. Os controles individuais explicam, além disso, 55,2%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variância entre bairros do M0: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faz de um bairro um bairro (M2).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três covariáveis de nível 2 explicam 40,1% da variância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0,1509 para 0,0903;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19.536, 3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). O coeficiente de composição racial,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 0,0017), indica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negros da UPA reduz o log-rendimento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0,22 pontos — da mesma ordem da penalidade individual — a evidência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. O coeficiente individual mal se move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depende de quem são os vizinhos; o bairro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(onde se consegue morar), não pelo salário de quem já está lá.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líquido (M3).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[−0,1087; −0,1066]):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 de 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observáveis. O ICC cai para 0,144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 explicam 78,9% da variância entre bairros do M0.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(M4).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Acrescentar vínculo e grupo CBO leva 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(7,0%). A queda adicional — 16,6% do gap agregado —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“explicação”</w:t>
      </w:r>
      <w:r>
        <w:rPr>
          <w:rFonts w:ascii="Arial" w:hAnsi="Arial"/>
          <w:sz w:val="22"/>
        </w:rPr>
        <w:t xml:space="preserve">,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canal</w:t>
      </w:r>
      <w:r>
        <w:rPr>
          <w:rFonts w:ascii="Arial" w:hAnsi="Arial"/>
          <w:sz w:val="22"/>
        </w:rPr>
        <w:t xml:space="preserve">: a ocupação é ela própria resultado da 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(Seção </w:t>
      </w:r>
      <w:hyperlink w:anchor="subsec:glmm_resultados">
        <w:r>
          <w:rPr>
            <w:rStyle w:val="Hyperlink"/>
          </w:rPr>
          <w:t xml:space="preserve">[subsec:glmm_resultados]</w:t>
        </w:r>
      </w:hyperlink>
      <w:r>
        <w:rPr>
          <w:rFonts w:ascii="Arial" w:hAnsi="Arial"/>
          <w:sz w:val="22"/>
        </w:rPr>
        <w:t xml:space="preserve">), por isso o M4 é um limite inferior descritivo.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varia entre bairros.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inclinação aleatória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 é significativa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, desvio-padrão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log-pontos. Em bairros a um desvio-padrão da média a penalidade vai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−0,280 a 0,063 log-pontos — a discriminação salarial tem geografia,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covariância intercepto–inclinação de −0,0245 indica que a penalidade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nos bairros de renda-base 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contrasta os efeitos fixos de estado com os interceptos estimados para os bairros.</w:t>
      </w:r>
    </w:p>
    <w:bookmarkStart w:id="36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36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hlm_blups">
        <w:r>
          <w:rPr>
            <w:rStyle w:val="Hyperlink"/>
          </w:rPr>
          <w:t xml:space="preserve">1</w:t>
        </w:r>
      </w:hyperlink>
      <w:r>
        <w:rPr>
          <w:rFonts w:ascii="Arial" w:hAnsi="Arial"/>
          <w:sz w:val="22"/>
        </w:rPr>
        <w:t xml:space="preserve">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Viés de variável omitida e sensibilidade.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37" w:name="tab:hlm_resultados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38"/>
    <w:bookmarkStart w:id="51" w:name="subsec:ml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ml_per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o desempenho preditivo dos dois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 (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20%).</w:t>
      </w:r>
    </w:p>
    <w:bookmarkStart w:id="39" w:name="tab:ml_perf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39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Tabela </w:t>
      </w:r>
      <w:hyperlink w:anchor="tab:ml_per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 </w:t>
      </w:r>
      <w:hyperlink w:anchor="tab:ml_cv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). A configuração escolhida (profundidade 10) alcança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, contra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0,6143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±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0,0007 da profundidade 6 usada na versão anterior deste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trabalho, sem aumentar o sobreajuste. O 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quarta casa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decimal mostra que, com 6.155.355 observações de treino, o desempenho não depende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 parte dos dados é usada para validar — a validação cruzada aqui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0" w:name="tab:ml_cv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1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Ausência de sobreajuste (população completa).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treino 80%/teste 20%),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método não-paramétrico não apresenta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overfitting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 praticamente coincidem (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XGBoost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Random Forest). Três evidências convergem: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Arial" w:hAnsi="Arial"/>
          <w:sz w:val="22"/>
        </w:rPr>
        <w:t xml:space="preserve">; a razão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complexidade (modelos regularizados sobre 7,7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observações); e a estabilidade do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entre a subamostra de 20%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(praticamente idêntico,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Arial" w:hAnsi="Arial"/>
          <w:sz w:val="22"/>
        </w:rPr>
        <w:t xml:space="preserve">). Em suma,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ampliar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base, de amostral para populacional,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não aumenta — o risco de sobreajuste. A Tabela </w:t>
      </w:r>
      <w:hyperlink w:anchor="tab:shap_importance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traz o ranking completo das variáveis nos dois modelos.</w:t>
      </w:r>
    </w:p>
    <w:bookmarkStart w:id="42" w:name="tab:shap_importance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42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Tabela </w:t>
      </w:r>
      <w:hyperlink w:anchor="tab:shap_importance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 A Figura </w:t>
      </w:r>
      <w:hyperlink w:anchor="fig:shap_bee">
        <w:r>
          <w:rPr>
            <w:rStyle w:val="Hyperlink"/>
          </w:rPr>
          <w:t xml:space="preserve">[fig:shap_bee]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distribuição dos valores de contribuição por variável.</w:t>
      </w:r>
    </w:p>
    <w:bookmarkStart w:id="46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46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shap">
        <w:r>
          <w:rPr>
            <w:rStyle w:val="Hyperlink"/>
          </w:rPr>
          <w:t xml:space="preserve">2</w:t>
        </w:r>
      </w:hyperlink>
      <w:r>
        <w:rPr>
          <w:rFonts w:ascii="Arial" w:hAnsi="Arial"/>
          <w:sz w:val="22"/>
        </w:rPr>
        <w:t xml:space="preserve">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shap_importance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(17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 contra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29), 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 </w:t>
      </w:r>
      <w:hyperlink w:anchor="fig:shap_w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ilustra como a previsão de um caso individual é composta.</w:t>
      </w:r>
    </w:p>
    <w:bookmarkStart w:id="50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0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shap_w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1"/>
    <w:bookmarkStart w:id="57" w:name="X03c9c993697b2951d32c364cc1a724101cab21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mediacao">
        <w:r>
          <w:rPr>
            <w:rStyle w:val="Hyperlink"/>
          </w:rPr>
          <w:t xml:space="preserve">7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52" w:name="tab:mediacao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52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</w:t>
      </w:r>
      <w:hyperlink w:anchor="fig:hlm_gap">
        <w:r>
          <w:rPr>
            <w:rStyle w:val="Hyperlink"/>
          </w:rPr>
          <w:t xml:space="preserve">4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resume a sequência de degraus em barras.</w:t>
      </w:r>
    </w:p>
    <w:bookmarkStart w:id="56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56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hlm_gap">
        <w:r>
          <w:rPr>
            <w:rStyle w:val="Hyperlink"/>
          </w:rPr>
          <w:t xml:space="preserve">4</w:t>
        </w:r>
      </w:hyperlink>
      <w:r>
        <w:rPr>
          <w:rFonts w:ascii="Arial" w:hAnsi="Arial"/>
          <w:sz w:val="22"/>
        </w:rPr>
        <w:t xml:space="preserve">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Oaxaca–Blinder: composição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 </w:t>
      </w:r>
      <w:hyperlink w:anchor="tab:oaxaca_blinder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58" w:name="tab:oaxaca_blinder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1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>
            <w:gridSpan w:val="2"/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5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</w:t>
      </w:r>
      <w:hyperlink w:anchor="fig:ob_cascata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as duas especificações em forma de cascata.</w:t>
      </w:r>
    </w:p>
    <w:bookmarkStart w:id="62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62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ob_cascata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RIF-OB: teto de vidro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9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 </w:t>
      </w:r>
      <w:hyperlink w:anchor="tab:rif_ob">
        <w:r>
          <w:rPr>
            <w:rStyle w:val="Hyperlink"/>
          </w:rPr>
          <w:t xml:space="preserve">10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 </w:t>
      </w:r>
      <w:hyperlink w:anchor="tab:rif_ob">
        <w:r>
          <w:rPr>
            <w:rStyle w:val="Hyperlink"/>
          </w:rPr>
          <w:t xml:space="preserve">10</w:t>
        </w:r>
      </w:hyperlink>
      <w:r>
        <w:rPr>
          <w:rFonts w:ascii="Arial" w:hAnsi="Arial"/>
          <w:sz w:val="22"/>
        </w:rPr>
        <w:t xml:space="preserve">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64" w:name="tab:qr_melhorias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>
            <w:gridSpan w:val="2"/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</w:tr>
    </w:tbl>
    <w:bookmarkEnd w:id="64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65" w:name="tab:rif_ob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65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</w:t>
      </w:r>
      <w:hyperlink w:anchor="fig:qr_rif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põe os dois ângulos lado a lado.</w:t>
      </w:r>
    </w:p>
    <w:bookmarkStart w:id="69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69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qr_rif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modelo logístico multinível (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, intercepto aleatório de UPA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UF, estimado por Laplace na população completa) modela a probabilidade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três desfechos — cargo qualificado (CBO 1–4), renda no top 20% e no top 10%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HLM: M1 individual, M2 + contexto do bairro, M3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(formalidade, setor público, conta própria, doméstico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logo limite inferior) e M4 +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odds ratios</w:t>
      </w:r>
      <w:r>
        <w:rPr>
          <w:rFonts w:ascii="Arial" w:hAnsi="Arial"/>
          <w:sz w:val="22"/>
        </w:rPr>
        <w:t xml:space="preserve">, efeitos marginais, ICC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E-values; a Tabela </w:t>
      </w:r>
      <w:hyperlink w:anchor="tab:glmm_ajuste">
        <w:r>
          <w:rPr>
            <w:rStyle w:val="Hyperlink"/>
          </w:rPr>
          <w:t xml:space="preserve">12</w:t>
        </w:r>
      </w:hyperlink>
      <w:r>
        <w:rPr>
          <w:rFonts w:ascii="Arial" w:hAnsi="Arial"/>
          <w:sz w:val="22"/>
        </w:rPr>
        <w:t xml:space="preserve">, o ajuste e o desempenho de classificação.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M1, a correlação intraclasse latente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0,198 para o cargo qualificado e 0,350 para o top 10%: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e 35% da variância latente do acesso está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bairros. O teste de razão de verossimilhança do M2 contra o logit sem efeito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411.007 para o cargo; 337.418 para o top 10%, 1 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que o efeito aleatório de UPA é indispensável — o logit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pooled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independentes pessoas do mesmo mercado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mais ainda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M2,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controlados escolaridade, sexo, idade, horas, estado e contexto do bairro, a chance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 (IC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0,696–0,702) da de um branco do mesmo bairro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 menos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chance</w:t>
      </w:r>
      <w:r>
        <w:rPr>
          <w:rFonts w:ascii="Arial" w:hAnsi="Arial"/>
          <w:sz w:val="22"/>
        </w:rPr>
        <w:t xml:space="preserve">, ou 5,5 pontos percentuais de probabilidade. No top 20% da renda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 é 0,688 e no top 10%, 0,654 (35% menos chance):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se aperta à medida que se sobe. Nota: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desvantagem; o AME traduz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OR em probabilidade e é a medida a reter (MHE, cap. 3).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Descontar o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empregatício (M3) muda pouco o OR do cargo qualificado (0,691) e do top 10%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(0,656): a barreira não é um artefato da informalidade. No M4, a interação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credencial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1,069 para o superior completo e 1,060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pós-graduação: o diploma atenua a penalidade sem eliminá-la, e o OR combinado do negro com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é 0,735 — a credencial não neutraliza a barreira de acesso. A Figura </w:t>
      </w:r>
      <w:hyperlink w:anchor="fig:glmm_or">
        <w:r>
          <w:rPr>
            <w:rStyle w:val="Hyperlink"/>
          </w:rPr>
          <w:t xml:space="preserve">7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as razões 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Ajuste e classificação.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discrimina bem os desfechos: AUC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0,831 (com efeitos aleatórios) e 0,790 (só efeitos fixos) para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qualificado;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(0,30) a sensibilidade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0,82 e a especificidade 0,68. O teste de Hosmer–Lemeshow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rejeita a calibração perfeita em todos os degraus — inevitável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(MHE, cap. 8) —, mas a estatística cai a cerca de metade quando se acrescenta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(M3), sinal de calibração melhor; entre M1 e M2 ela praticamente não muda. O logit com efeitos fixos de UF e erro-padrão agrupado por UPA (última coluna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) reproduz os OR do GLMM: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</w:t>
      </w:r>
    </w:p>
    <w:bookmarkStart w:id="74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74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glmm_or">
        <w:r>
          <w:rPr>
            <w:rStyle w:val="Hyperlink"/>
          </w:rPr>
          <w:t xml:space="preserve">7</w:t>
        </w:r>
      </w:hyperlink>
      <w:r>
        <w:rPr>
          <w:rFonts w:ascii="Arial" w:hAnsi="Arial"/>
          <w:sz w:val="22"/>
        </w:rPr>
        <w:t xml:space="preserve">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75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6" w:name="tab:glmm_ajuste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76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interseccional">
        <w:r>
          <w:rPr>
            <w:rStyle w:val="Hyperlink"/>
          </w:rPr>
          <w:t xml:space="preserve">13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 o diferencial de cada grupo contra o homem branco.</w:t>
      </w:r>
    </w:p>
    <w:bookmarkEnd w:id="77"/>
    <w:bookmarkStart w:id="84" w:name="X1df7cc4eb0c7cc9fb7ddad12c1316189c49cc50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Interseccionalidade: raça e gênero no acesso e no topo</w:t>
      </w:r>
    </w:p>
    <w:bookmarkStart w:id="78" w:name="tab:interseccional"/>
    <w:p>
      <w:pPr>
        <w:pStyle w:val="Tabl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7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modelos anteriores tratam raça e gênero de forma aditiva. Uma leitura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se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partes. Reespecificamos o GLMM de acesso com um fator de quatro grupos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Style w:val="VerbatimChar"/>
          <w:rFonts w:ascii="Arial" w:hAnsi="Arial"/>
          <w:sz w:val="22"/>
        </w:rPr>
        <w:t xml:space="preserve">grupo_rg</w:t>
      </w:r>
      <w:r>
        <w:rPr>
          <w:rFonts w:ascii="Arial" w:hAnsi="Arial"/>
          <w:sz w:val="22"/>
        </w:rPr>
        <w:t xml:space="preserve">: homem branco [referência], mulher branca, homem negro,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negra) e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, em três desfechos: acesso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qualificada (CBO 1–4), renda no top 20% e no top 10%. A Tabela </w:t>
      </w:r>
      <w:hyperlink w:anchor="tab:interseccional">
        <w:r>
          <w:rPr>
            <w:rStyle w:val="Hyperlink"/>
          </w:rPr>
          <w:t xml:space="preserve">13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, as razões de chance nos três desfechos.</w:t>
      </w:r>
    </w:p>
    <w:bookmarkStart w:id="83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83"/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after="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interseccional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resultado revela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inversão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à categoria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homem branco —, porque o efeito de gênero é positivo nesse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desfecho (profissões credenciadas feminizadas, em CBO 1–4); o grupo mais penalizado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topo da renda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porém,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inverte</w:t>
      </w:r>
      <w:r>
        <w:rPr>
          <w:rFonts w:ascii="Arial" w:hAnsi="Arial"/>
          <w:sz w:val="22"/>
        </w:rPr>
        <w:t xml:space="preserve">: a mulher negra passa a ser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superior, abaixo da mulher branca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sub-aditiva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acesso;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 10%):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racial é ligeiramente menor entre mulheres, mas isso não impede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negra acumule a barreira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teto de vidro de gênero exatamente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mais importa para a ascensão — o topo da distribuição.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84"/>
    <w:bookmarkStart w:id="86" w:name="subsec:v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verificar se a inclusão simultânea dos 9 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e das variáveis de vínculo empregatício (</w:t>
      </w:r>
      <w:r>
        <w:rPr>
          <w:rStyle w:val="VerbatimChar"/>
          <w:rFonts w:ascii="Arial" w:hAnsi="Arial"/>
          <w:sz w:val="22"/>
        </w:rPr>
        <w:t xml:space="preserve">emprego_formal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conta_propria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trab_domestico</w:t>
      </w:r>
      <w:r>
        <w:rPr>
          <w:rFonts w:ascii="Arial" w:hAnsi="Arial"/>
          <w:sz w:val="22"/>
        </w:rPr>
        <w:t xml:space="preserve">) introduz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problemática no Modelo M4, calculou-se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subsample de 200.000 observações da PEA com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</w:t>
      </w:r>
      <w:r>
        <w:rPr>
          <w:rFonts w:ascii="Arial" w:hAnsi="Arial"/>
          <w:sz w:val="22"/>
        </w:rPr>
        <w:t xml:space="preserve"> </w:t>
      </w:r>
      <m:oMath>
        <m:r>
          <m:t>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(Educ.: não registrada); 2 variável crítica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); 1 variável alta (</w:t>
      </w:r>
      <m:oMath>
        <m:r>
          <m:t>5</m:t>
        </m:r>
      </m:oMath>
      <w:r>
        <w:rPr>
          <w:rFonts w:ascii="Arial" w:hAnsi="Arial"/>
          <w:sz w:val="22"/>
        </w:rPr>
        <w:t xml:space="preserve">–</w:t>
      </w:r>
      <m:oMath>
        <m:r>
          <m:t>10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 variável moderada (</w:t>
      </w:r>
      <m:oMath>
        <m:r>
          <m:t>2</m:t>
        </m:r>
      </m:oMath>
      <w:r>
        <w:rPr>
          <w:rFonts w:ascii="Arial" w:hAnsi="Arial"/>
          <w:sz w:val="22"/>
        </w:rPr>
        <w:t xml:space="preserve">–</w:t>
      </w:r>
      <m:oMath>
        <m:r>
          <m:t>5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(Seção </w:t>
      </w:r>
      <w:hyperlink w:anchor="subsec:hlm_resultados">
        <w:r>
          <w:rPr>
            <w:rStyle w:val="Hyperlink"/>
          </w:rPr>
          <w:t xml:space="preserve">[subsec:hlm_resultados]</w:t>
        </w:r>
      </w:hyperlink>
      <w:r>
        <w:rPr>
          <w:rFonts w:ascii="Arial" w:hAnsi="Arial"/>
          <w:sz w:val="22"/>
        </w:rPr>
        <w:t xml:space="preserve">).</w:t>
      </w:r>
    </w:p>
    <w:p>
      <w:pPr>
        <w:pStyle w:val="BodyText"/>
      </w:pPr>
      <w:bookmarkStart w:id="85" w:name="sec:discussao"/>
      <w:bookmarkEnd w:id="85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multidimensional captada pela POF não eliminou o gap racial de qualidade de vida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183 para chefes pretos/pardos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122 para brancos), e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voltou a concentrar-se no topo em 2025 (Gini do rendimento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491) </w:t>
      </w:r>
      <w:r>
        <w:rPr>
          <w:rFonts w:ascii="Arial" w:hAnsi="Arial"/>
          <w:sz w:val="22"/>
        </w:rPr>
        <w:t xml:space="preserve">(IBGE, 2019, 2025)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Cabe uma ressalva metodológica: o Gini estimado neste trabalho refere-se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rendimento do trabalho entre ocupados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(em torno 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48), conceito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distinto do Gini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todas as fontes do IBGE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próximos, mas medidas diferentes que podem divergir em tendência, pois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alta de 2025 é puxada por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-trabalho do topo, que não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rendimento dos ocupados. Nesse mesmo conceito,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Lenta convergência racial.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redução de apenas 2,4%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dez anos — equivalente a 0,001 ponto de log-rendimento por ano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rPr>
          <w:rFonts w:ascii="Arial" w:hAnsi="Arial"/>
          <w:sz w:val="22"/>
        </w:rPr>
        <w:t xml:space="preserve">, WLS 2016–2025)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sugere que, ao ritmo atual, a convergência racial levaria mais de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século para eliminar o diferencial observado em 2016.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constatação não trivializa avanços recentes em políticas de cotas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acesso ao ensino superior, mas evidencia que reformas no campo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educação,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às redes profissionais, são insuficientes.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86"/>
    <w:bookmarkStart w:id="87" w:name="limitações-e-escopo-de-validad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rPr>
          <w:rFonts w:ascii="Arial" w:hAnsi="Arial"/>
          <w:sz w:val="22"/>
        </w:rPr>
        <w:t xml:space="preserve">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7"/>
    <w:bookmarkStart w:id="88" w:name="X6e5363a2ea64c40705be1be4ad3b57716cacb0d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8"/>
    <w:bookmarkEnd w:id="89"/>
    <w:bookmarkStart w:id="121" w:name="conclu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20" w:name="refs"/>
    <w:bookmarkStart w:id="90" w:name="ref-almeida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90"/>
    <w:bookmarkStart w:id="91" w:name="ref-angrist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91"/>
    <w:bookmarkStart w:id="92" w:name="ref-arrow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92"/>
    <w:bookmarkStart w:id="93" w:name="ref-becker195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93"/>
    <w:bookmarkStart w:id="94" w:name="ref-bickel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94"/>
    <w:bookmarkStart w:id="95" w:name="ref-blind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95"/>
    <w:bookmarkStart w:id="96" w:name="ref-breiman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96"/>
    <w:bookmarkStart w:id="97" w:name="ref-cameron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97"/>
    <w:bookmarkStart w:id="98" w:name="ref-chen2016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98"/>
    <w:bookmarkStart w:id="99" w:name="ref-duan198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99"/>
    <w:bookmarkStart w:id="100" w:name="ref-firpo201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00"/>
    <w:bookmarkStart w:id="101" w:name="ref-frank201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01"/>
    <w:bookmarkStart w:id="102" w:name="ref-granovett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02"/>
    <w:bookmarkStart w:id="103" w:name="ref-hasenbalg197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03"/>
    <w:bookmarkStart w:id="104" w:name="ref-henriques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04"/>
    <w:bookmarkStart w:id="105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05"/>
    <w:bookmarkStart w:id="106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06"/>
    <w:bookmarkStart w:id="107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07"/>
    <w:bookmarkStart w:id="108" w:name="ref-koenker197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08"/>
    <w:bookmarkStart w:id="109" w:name="ref-lundberg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09"/>
    <w:bookmarkStart w:id="110" w:name="ref-manski199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10"/>
    <w:bookmarkStart w:id="111" w:name="ref-marques2010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11"/>
    <w:bookmarkStart w:id="112" w:name="ref-oaxaca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12"/>
    <w:bookmarkStart w:id="113" w:name="ref-oaxaca_ransom199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13"/>
    <w:bookmarkStart w:id="114" w:name="ref-pager200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14"/>
    <w:bookmarkStart w:id="115" w:name="ref-raudenbush2002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15"/>
    <w:bookmarkStart w:id="116" w:name="ref-sampson199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16"/>
    <w:bookmarkStart w:id="117" w:name="ref-soares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17"/>
    <w:bookmarkStart w:id="118" w:name="ref-vanderweele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18"/>
    <w:bookmarkStart w:id="119" w:name="ref-wilson198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19"/>
    <w:bookmarkEnd w:id="120"/>
    <w:bookmarkEnd w:id="121"/>
    <w:sectPr w:rsidR="00FE14AF" w:rsidRPr="000B508B" w:rsidSect="00346452">
      <w:headerReference r:id="rId11" w:type="default"/>
      <w:footerReference r:id="rId12" w:type="default"/>
      <w:footerReference r:id="rId13" w:type="first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_________ (Nome do curso) – ____ (ano da defesa)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71" Type="http://schemas.openxmlformats.org/officeDocument/2006/relationships/image" Target="media/rId71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6" Type="http://schemas.openxmlformats.org/officeDocument/2006/relationships/image" Target="media/rId66.png"/><Relationship Id="rId80" Type="http://schemas.openxmlformats.org/officeDocument/2006/relationships/image" Target="media/rId80.png"/><Relationship Id="rId33" Type="http://schemas.openxmlformats.org/officeDocument/2006/relationships/image" Target="media/rId33.png"/><Relationship Id="rId43" Type="http://schemas.openxmlformats.org/officeDocument/2006/relationships/image" Target="media/rId43.png"/><Relationship Id="rId47" Type="http://schemas.openxmlformats.org/officeDocument/2006/relationships/image" Target="media/rId4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2026-09-23T22:57:08Z</dcterms:created>
  <dcterms:modified xsi:type="dcterms:W3CDTF">2026-09-23T22:57:08Z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