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79% dotações / 109% retornos (retornos negativos, indicando discriminação de gênero pura).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a pandemia AMPLIOU o gap racial em 1,5 p.p. de log-renda — negros foram desproporcionalmente afetados pelo choque COVID.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e o DiD mostram que o gap não convergiu com o tempo — ao contrário, a pandemia o ampliou. Isso afasta a hipótese de convergência gradual pela educação e reforça a necessidade de intervenção estrutural.'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CC=0,799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CC=0,558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CC=0,388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CC=0,324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24%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