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73.png" ContentType="image/png"/>
  <Override PartName="/word/media/rId79.png" ContentType="image/png"/>
  <Override PartName="/word/media/rId86.png" ContentType="image/png"/>
  <Override PartName="/word/media/rId105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 dado pelas eq. (1) e (2):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, eq. (1):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(UPA), eq. (2):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)</w:t>
      </w:r>
      <w:r>
        <w:t xml:space="preserve"> </w:t>
      </w:r>
      <w:r>
        <w:t xml:space="preserve">(Angrist; Pischke, 2009)</w:t>
      </w:r>
      <w:r>
        <w:t xml:space="preserve">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de</w:t>
      </w:r>
      <w:r>
        <w:t xml:space="preserve"> </w:t>
      </w:r>
      <w:r>
        <w:t xml:space="preserve">Blinder (1973)</w:t>
      </w:r>
      <w:r>
        <w:t xml:space="preserve"> </w:t>
      </w:r>
      <w:r>
        <w:t xml:space="preserve">e</w:t>
      </w:r>
      <w:r>
        <w:t xml:space="preserve"> </w:t>
      </w:r>
      <w:r>
        <w:t xml:space="preserve">Oaxaca (1973)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3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</w:t>
      </w:r>
      <w:r>
        <w:t xml:space="preserve"> </w:t>
      </w:r>
      <w:r>
        <w:t xml:space="preserve">(Tabela </w:t>
      </w:r>
      <w:hyperlink w:anchor="tab:simetria">
        <w:r>
          <w:rPr>
            <w:rStyle w:val="Hyperlink"/>
          </w:rPr>
          <w:t xml:space="preserve">4</w:t>
        </w:r>
      </w:hyperlink>
      <w:r>
        <w:t xml:space="preserve">):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410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281386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13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coeficiente, pelo Konfound</w:t>
      </w:r>
      <w:r>
        <w:t xml:space="preserve"> </w:t>
      </w:r>
      <w:r>
        <w:t xml:space="preserve">(Frank et al., 2013)</w:t>
      </w:r>
      <w:r>
        <w:t xml:space="preserve">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do XGBoost na partição de validação</w:t>
      </w:r>
      <w:r>
        <w:t xml:space="preserve"> </w:t>
      </w:r>
      <w:r>
        <w:t xml:space="preserve">(Alencar, 2026a, 2026b, 2026c; Géron, 2021)</w:t>
      </w:r>
      <w:r>
        <w:t xml:space="preserve">. Seis configurações comparadas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População completa:</w:t>
      </w:r>
      <w:r>
        <w:t xml:space="preserve"> </w:t>
      </w:r>
      <w:r>
        <w:t xml:space="preserve">6.159.418 observações de 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do XGBoost na partição de validação (Alencar, 2026a, 2026b, 2026c; Géron, 2021). Seis configurações comparadas dentro do treino — o conjunto de teste permanece intocado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primeira linha é a configuração escolhida.</w:t>
      </w:r>
    </w:p>
    <w:bookmarkStart w:id="58" w:name="tab:ml_cv_b"/>
    <w:p>
      <w:pPr>
        <w:pStyle w:val="TableCaption"/>
      </w:pPr>
      <w:r>
        <w:t xml:space="preserve">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do XGBoost no treino completo,</w:t>
      </w:r>
      <w:r>
        <w:t xml:space="preserve"> </w:t>
      </w:r>
      <w:r>
        <w:t xml:space="preserve">com média e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ção cruzada k-fold (k=5) do XGBoost no treino completo, com média e desvio-padrão entre fo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a configuração escolhida ganha 1,4 ponto percentual</w:t>
      </w:r>
      <w:r>
        <w:t xml:space="preserve"> </w:t>
      </w:r>
      <w:r>
        <w:t xml:space="preserve">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 sobreajuste maior, mas ainda pequeno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). No</w:t>
      </w:r>
      <w:r>
        <w:t xml:space="preserve"> </w:t>
      </w:r>
      <w:r>
        <w:t xml:space="preserve">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0" w:name="fig:shap_wf"/>
    <w:p>
      <w:pPr>
        <w:pStyle w:val="CaptionedFigure"/>
      </w:pPr>
      <w:r>
        <w:drawing>
          <wp:inline>
            <wp:extent cx="3307080" cy="606255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shap_waterfall_AB_xgb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606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 painel A é o trabalhador branco, e o B, o</w:t>
      </w:r>
      <w:r>
        <w:t xml:space="preserve"> </w:t>
      </w:r>
      <w:r>
        <w:t xml:space="preserve">negro.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1"/>
    <w:bookmarkStart w:id="7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6" w:name="fig:hlm_gap"/>
    <w:p>
      <w:pPr>
        <w:pStyle w:val="CaptionedFigure"/>
      </w:pPr>
      <w:r>
        <w:drawing>
          <wp:inline>
            <wp:extent cx="4907280" cy="193708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fig_hlm_g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37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77"/>
    <w:bookmarkStart w:id="8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7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2" w:name="fig:ob_cascata"/>
    <w:p>
      <w:pPr>
        <w:pStyle w:val="CaptionedFigure"/>
      </w:pPr>
      <w:r>
        <w:drawing>
          <wp:inline>
            <wp:extent cx="5067300" cy="15883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outputs/figures/fig_ob_cascata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8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3"/>
    <w:bookmarkStart w:id="9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5"/>
    <w:bookmarkStart w:id="89" w:name="fig:qr_rif"/>
    <w:p>
      <w:pPr>
        <w:pStyle w:val="CaptionedFigure"/>
      </w:pPr>
      <w:r>
        <w:drawing>
          <wp:inline>
            <wp:extent cx="5227320" cy="151405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outputs/figures/fig_qr_rif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51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8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0"/>
    <w:bookmarkStart w:id="101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1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2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3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4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98" w:name="fig:glmm_or"/>
    <w:p>
      <w:pPr>
        <w:pStyle w:val="CaptionedFigure"/>
      </w:pPr>
      <w:r>
        <w:drawing>
          <wp:inline>
            <wp:extent cx="5067300" cy="184790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outputs/figures/fig_glmm_o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98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99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99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0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0"/>
    <w:bookmarkEnd w:id="101"/>
    <w:bookmarkStart w:id="110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2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3" w:name="subsec:interseccional"/>
      <w:bookmarkEnd w:id="103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4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08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08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09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0"/>
    <w:bookmarkStart w:id="112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1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2"/>
    <w:bookmarkEnd w:id="113"/>
    <w:bookmarkStart w:id="11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5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6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17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18" w:name="ref-alencar2026a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a2026.</w:t>
      </w:r>
    </w:p>
    <w:bookmarkEnd w:id="118"/>
    <w:bookmarkStart w:id="119" w:name="ref-alencar2026b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b2026.</w:t>
      </w:r>
    </w:p>
    <w:bookmarkEnd w:id="119"/>
    <w:bookmarkStart w:id="120" w:name="ref-alencar2026c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c2026.</w:t>
      </w:r>
    </w:p>
    <w:bookmarkEnd w:id="120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105" Target="media/rId10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2026-10-06T13:24:23Z</dcterms:created>
  <dcterms:modified xsi:type="dcterms:W3CDTF">2026-10-06T13:24:23Z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