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caiu de 26,2% para 21,6% em M1 e de 22,2% para 10,7%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