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4429233"/>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4429233"/>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7,8% no público vs 11,2% no privado — e a HOMOGENEÍZA entre estados (τ²=0,00140 vs 0,00218).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(LR=15.775, p&lt;0,001), com dispersão MAIOR que a racial (DP gênero=0,064 vs raça=0,050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(OR=2,01&gt;1, por profissões credenciadas feminizadas), mas MUITO MENOS acesso ao topo da renda (OR top20=0,567; top10=0,522). O teto de vidro de gênero é de REMUNERAÇÃO, não de categoria ocupacional — e sua heterogeneidade entre UFs supera a racial no topo (τ²=0,0324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7200"/>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187200"/>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