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Ricardo Gomes Calheiros</w:t>
      </w: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; Edilson José Rodrigues</w:t>
      </w:r>
      <w:r>
        <w:rPr>
          <w:rFonts w:ascii="Arial" w:hAnsi="Arial"/>
          <w:sz w:val="22"/>
          <w:vertAlign w:val="superscript"/>
        </w:rPr>
        <w:t xml:space="preserve">2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1*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Especialista em Finanças, Controladoria e Auditoria.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 autor correspondente: rickinrj@gmail.com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Doutor em Engenharia Elétrica. MBA USP/Esalq.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E-mail: orientador@usp.br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Racismo estrutural no mercado de trabalho brasileiro: uma abordagem multinível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 de decomposição salarial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Resumo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Este trabalho investigou o diferencial racial de rendimentos e as barreiras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ocupacional no Brasil com a série completa da Pesquisa Nacional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 de Domicílios Contínua, de 2016 a 2025, sobre 7.694.198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da população ocupada com rendimento positivo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40.969 setores de amostragem. Quatro métodos foram aplicados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 articulada: modelo linear hierárquico de dois níveis, com indivíduos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aninhados em bairros e efeitos fixos de estado; decomposição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Oaxaca–Blinder; regressão quantílica com decomposição por função de influência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recentrada; e modelo logístico multinível de acesso, estimado por máxima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verossimilhança. Um modelo de aprendizado de máquina interpretável serviu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contraprova à forma funcional. O gap agregado foi de 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quais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diferencial que sobreviveu ao controle de capital humano, contexto e estado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ocupação. A decomposição atribuiu 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diferenciais. O modelo de acesso estimou razão de chances de 0,699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 e 0,654 para o décimo superior da renda, indicando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barreira que se agrava no topo.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de gênero isoladas. Concluiu-se que a discriminação operou sobretudo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 ocupação, e não apenas no salário, de modo que políticas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 se mostraram insuficientes.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Palavras-chave</w:t>
      </w:r>
      <w:r>
        <w:rPr>
          <w:rFonts w:ascii="Arial" w:hAnsi="Arial"/>
          <w:sz w:val="22"/>
        </w:rPr>
        <w:t xml:space="preserve">: diferencial racial de rendimentos;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segregação residencial; teto de vidro; decomposição de Oaxaca–Blinder;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interseccionalidade.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Structural racism in the Brazilian labour market: a multilevel and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wage-decomposition approach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Abstract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This study examined the racial earnings differential and occupational access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barriers in Brazil using the complete series of the Brazilian Continuous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National Household Sample Survey, from 2016 to 2025, covering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7.694.198 observations of employed workers with positive earnings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40.969 sampling units. Four methods were jointly applied: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two-level hierarchical linear model, with individuals nested in neighbourhoods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and state fixed effects; an Oaxaca–Blinder decomposition; quantile regression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with recentred influence function decomposition; and a multilevel logistic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 of occupational access, estimated by maximum likelihood. An interpretable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machine learning model served as a functional-form check. The aggregate gap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19,1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neighbourhood of residence; the differential surviving controls for human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capital, context and state was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persisted within the same occupation. The decomposition attributed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28,4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estimated odds ratios of 0,699 for qualified occupations and 0,654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the top income decile, indicating a barrier that tightens towards the top. The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disadvantage faced by Black women exceeded the sum of the separate race and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gender penalties by 4,6 percentage points. It was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concluded that discrimination operated mainly in access to occupations, not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only in wages, so that policies centred solely on schooling proved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insufficient.</w:t>
      </w:r>
    </w:p>
    <w:p>
      <w:pPr>
        <w:pStyle w:val="BodyText"/>
        <w:spacing w:line="240" w:lineRule="auto" w:before="240" w:after="120"/>
        <w:ind w:firstLine="0"/>
        <w:jc w:val="left"/>
      </w:pPr>
      <w:r>
        <w:rPr>
          <w:rFonts w:ascii="Arial" w:hAnsi="Arial"/>
          <w:b/>
          <w:bCs/>
          <w:sz w:val="22"/>
        </w:rPr>
        <w:t xml:space="preserve">Keywords</w:t>
      </w:r>
      <w:r>
        <w:rPr>
          <w:rFonts w:ascii="Arial" w:hAnsi="Arial"/>
          <w:sz w:val="22"/>
        </w:rPr>
        <w:t xml:space="preserve">: racial earnings gap; residential segregation; glass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ceiling; Oaxaca–Blinder decomposition; intersectionality.</w:t>
      </w:r>
    </w:p>
    <w:bookmarkStart w:id="22" w:name="introduç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Introdução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Brasil é um dos países com maior desigualdade racial de renda no mundo,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razão entre o rendimento médio de trabalhadores brancos e negros permanece 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1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1,5 em toda a série histórica disponível, mesmo quando se controlam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experiência e setor de atividade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2023)</w:t>
      </w:r>
      <w:r>
        <w:rPr>
          <w:rFonts w:ascii="Arial" w:hAnsi="Arial"/>
          <w:sz w:val="22"/>
        </w:rPr>
        <w:t xml:space="preserve">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explicação usual atribui esse hiato a diferenças de qualificação; se ela fosse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suficiente, a expansão do acesso ao ensino teria dissolvido o diferencial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das últimas décadas, o que não ocorreu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(Hasenbalg, 1979)</w:t>
      </w:r>
      <w:r>
        <w:rPr>
          <w:rFonts w:ascii="Arial" w:hAnsi="Arial"/>
          <w:sz w:val="22"/>
        </w:rPr>
        <w:t xml:space="preserve">.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recente reforça o ponto: a Pesquisa de Orçamentos Familiares [POF] registrou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queda de cerca de 30% no Índice de Perda de Qualidade de Vida entre 2008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2018, sem fechar o hiato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2019)</w:t>
      </w:r>
      <w:r>
        <w:rPr>
          <w:rFonts w:ascii="Arial" w:hAnsi="Arial"/>
          <w:sz w:val="22"/>
        </w:rPr>
        <w:t xml:space="preserve">, enquanto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Gini do rendimento domiciliar per capita voltou a subir em 2025, puxado 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(IBGE, 2025)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teoria econômica oferece duas explicações concorrentes para um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sobrevive ao controle da produtividade observável, e elas implicam políticas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Becker (1957)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propôs a discriminação por preferência,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o empregador incorre em desutilidade ao contratar o grupo minoritário e,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isso, só o faz a salário menor; nesse modelo, a concorrência tende a erodir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prática.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Arrow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formalizou a discriminação estatística, em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raça é usada como sinal da produtividade média do grupo sob informação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imperfeita; aqui o equilíbrio se autoconfirma, porque o menor retorno esperado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desestimula o investimento em qualificação. A tradição brasileira acrescenta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terceira leitura, na qual o racismo é processo estrutural reproduzido pelas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instituições independentemente da intenção dos agentes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(Almeida, 2019)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que justifica tratar a segregação residencial e a segregação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mecanismos, e não como controles estatísticos.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literatura empírica identifica três canais de reprodução dessa desigualdade: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em processos de seleção e promoção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(Pager, 2007)</w:t>
      </w:r>
      <w:r>
        <w:rPr>
          <w:rFonts w:ascii="Arial" w:hAnsi="Arial"/>
          <w:sz w:val="22"/>
        </w:rPr>
        <w:t xml:space="preserve">;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de vizinhança, pelos quais a concentração de pobreza em bairros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segregados reduz as redes de contato com o mercado formal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(Marques, 2010; Sampson; Raudenbush; Earls, 1997; Wilson, 1987)</w:t>
      </w:r>
      <w:r>
        <w:rPr>
          <w:rFonts w:ascii="Arial" w:hAnsi="Arial"/>
          <w:sz w:val="22"/>
        </w:rPr>
        <w:t xml:space="preserve">; e a subvalorização do capital humano negro, pela qual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mesmo nível de escolaridade rende menos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(Henriques, 2001; Soares, 2009)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Tratados isoladamente, esses mecanismos têm sido difíceis de quantificar de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integrada e em escala nacional, e é essa lacuna que o presente trabalho enfrenta.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Três hipóteses orientaram a investigação. A primeira supôs que parte relevante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racial de rendimentos é mediada pelo contexto do bairro de moradia,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apenas por atributos individuais. A segunda supôs que a penalidade racial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uniforme ao longo da distribuição de renda, mas se agrava no topo, configurando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de vidro. A terceira supôs que a barreira opera antes do salário, no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às ocupações qualificadas, de modo que trabalhadores negros com o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observável enfrentam menor probabilidade de nelas ingressar.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objetivo deste trabalho foi identificar, isolar e quantificar os mecanismos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de rendimentos e de acesso ocupacional no Brasil,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distinguindo a parcela atribuível a diferenças de características da parcela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atribuível a retornos diferenciais, e traduzindo o diagnóstico em implicações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Implementação de Algoritmo(s) de Machine Learning</w:t>
      </w:r>
    </w:p>
    <w:bookmarkStart w:id="24" w:name="base-de-dados-pnad-contínua-20162025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Base de dados: PNAD Contínua (2016–2025)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pesquisa amostral de domicílios conduzida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trimestralmente pelo IBGE, com cobertura nacional e metodologia de painel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rotativo. O microdado contém informações sobre características demográficas,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escolaridade, inserção no mercado de trabalho e rendimentos para todos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moradores dos domicílios selecionados. Para este trabalho, foram processados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40 trimestres disponíveis de 2016T1 a 2025T4, totalizando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15.941.675 observações brutas, das quais 7.694.198 possuem renda positiva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declarada e completude nas variáveis do modelo.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classificação racial segue o critério binário adotado pelos estudos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desigualdade racial no Brasil: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preto (código 2)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pardo (código 4);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branco (código 1), ambos da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V2010 (cor ou raça autodeclarada).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 que é feita a comparação: balanceamento e suporte comum.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Antes de qualquer controle, convém olhar em que brancos e negros diferem — é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a Tabela Tabela 1. O maior desequilíbrio não está em escolaridade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nem em horas: está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se mora</w:t>
      </w:r>
      <w:r>
        <w:rPr>
          <w:rFonts w:ascii="Arial" w:hAnsi="Arial"/>
          <w:sz w:val="22"/>
        </w:rPr>
        <w:t xml:space="preserve">. A composição racial do bairro tem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padronizada de −1,18 desvios — uma ordem de grandeza acima de qualquer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individual —, seguida do desemprego local (−0,46) e da educação média do entorno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(−0,30). É esse desequilíbrio que o nível 2 do modelo hierárquico absorve.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escolaridade, por sua vez, são condicionais ao registro da variável,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cuja cobertura difere entre os grupos (73,7% contra 65,3% de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registro); por isso o indicador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 em todos os modelos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educacionais são lidos com a cautela registrada nas limitações.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suporte comum é amplo: 97,3% das UPAs abrigam trabalhadores dos dois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grupos e todas as células 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contêm brancos e negros,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comparação não depende de extrapolação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23" w:name="tab:balanceament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1. Balanceamento entre trabalhadores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antes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— a tabela que mostra de que é feita a comparação (Angrist &amp; Pischke, cap. 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 padronizada:</w:t>
      </w:r>
      <w:r>
        <w:rPr>
          <w:rFonts w:ascii="Arial" w:hAnsi="Arial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rPr>
          <w:rFonts w:ascii="Arial" w:hAnsi="Arial"/>
          <w:sz w:val="22"/>
        </w:rPr>
        <w:t xml:space="preserve">; valores acima de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módulo indicam desequilíbrio relevante. População completa da PEA com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3.259.516 brancos e 4.434.682 negros).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. 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359"/>
        <w:gridCol w:w="1132"/>
        <w:gridCol w:w="1359"/>
        <w:gridCol w:w="1132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Variável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Brancos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Negros</w:t>
            </w:r>
          </w:p>
        </w:tc>
        <w:tc>
          <w:tcPr>
            <w:tcW w:type="dxa" w:w="135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Diferença</w:t>
            </w:r>
          </w:p>
        </w:tc>
        <w:tc>
          <w:tcPr>
            <w:tcW w:type="dxa" w:w="113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d</m:t>
              </m:r>
            </m:oMath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 do rendimento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7,577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7,151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−1,638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−3,110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1,472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0,399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Fundamental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Médio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Superior completo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−0,080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Pós-graduação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Escolaridade não registrada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0,737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 trabalhadas)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3,644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3,598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Reside em área urbana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0,813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0,493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0,054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0,277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0,282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−0,006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0,149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0,079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0,066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0,023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−0,705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0,335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−1,040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−1,18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−0,327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0,093</w:t>
            </w:r>
          </w:p>
        </w:tc>
        <w:tc>
          <w:tcPr>
            <w:tcW w:type="dxa" w:w="13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−0,420</w:t>
            </w:r>
          </w:p>
        </w:tc>
        <w:tc>
          <w:tcPr>
            <w:tcW w:type="dxa" w:w="113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−0,46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−0,133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0,165</w:t>
            </w:r>
          </w:p>
        </w:tc>
        <w:tc>
          <w:tcPr>
            <w:tcW w:type="dxa" w:w="13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−0,298</w:t>
            </w:r>
          </w:p>
        </w:tc>
        <w:tc>
          <w:tcPr>
            <w:tcW w:type="dxa" w:w="113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−0,30</w:t>
            </w:r>
          </w:p>
        </w:tc>
      </w:tr>
    </w:tbl>
    <w:bookmarkEnd w:id="23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Suporte comum: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97,3% das UPAs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dos dois grupos, e 100,0% das células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UF 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 escolaridade também (100,0% das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estão em células com os dois grupos) — a comparação não depende de extrapolar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regiões da amostra onde só existe um dos grupos.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24"/>
    <w:bookmarkStart w:id="25" w:name="subsec:hlm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 Linear Hierárquico: indivíduos em bairros (UPA), com efeitos fixos de UF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amostrada por conglomerados: pessoas dentro de unidades primárias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amostragem (UPA, o proxy de bairro), dentro de estados. A hipótese substantiva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(H2) é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 parte do gap racial; o modelo, portanto, coloca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UPA no nível 2 e trata a UF como conjunto de efeitos fixos — 27 unidades são poucas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terceiro nível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e os 26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absorvem todo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 estadual sem hipóteses distribucionais. O modelo de dois níveis é: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1 — indivíduo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i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na UPA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em que</w:t>
      </w:r>
      <w:r>
        <w:rPr>
          <w:rFonts w:ascii="Arial" w:hAnsi="Arial"/>
          <w:sz w:val="22"/>
        </w:rPr>
        <w:t xml:space="preserve"> </w:t>
      </w:r>
      <m:oMath>
        <m:r>
          <m:rPr>
            <m:sty m:val="bi"/>
          </m:rPr>
          <m:t>Z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reúne horas, situação urbana e ano (e, no M4, vínculo e grupo CBO).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Nível 2 — bairro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j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coeficiente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evidência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: morar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com maior concentração de negros reduz 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mede a fração da variância do log-rendimento que está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bairros; valores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 5% justificam o modelo multinível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Estratégia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step-up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, os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estimados em degraus aninhados: M0 (nulo: só o intercepto aleatório, que dá o ICC);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M1 (+ capital humano e demografia); M2 (+ contexto do bairro, nível 2); M3 (+ efeitos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fixos de UF) — o modelo principal, que produz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; e M4 (+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grupo ocupacional), reportado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desfechos da própria discriminação (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degrau é comparado ao anterior por teste de razão de verossimilhança (LR),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redução de</w:t>
      </w:r>
      <w:r>
        <w:rPr>
          <w:rFonts w:ascii="Arial" w:hAnsi="Arial"/>
          <w:sz w:val="22"/>
        </w:rP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relação ao M0 mede a variância entre bairros explicada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pelos controles. Testa-se ainda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inclinação aleatória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(M3 +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com covariância não estruturada) —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 entre bairros? — por LR com dois graus de liberdade. Todos os modelos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estimados por máxima verossimilhança (ML), necessária para comparar efeitos fixos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degraus;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milhões, REML e ML produzem os mesmos componentes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(no M0,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ML e 0,33699 por REML;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ICC idêntico até a quarta casa). A</w:t>
      </w:r>
    </w:p>
    <w:bookmarkEnd w:id="25"/>
    <w:bookmarkStart w:id="26" w:name="subsec:oaxaca_metodo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de Oaxaca–Blinder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Estimam-se equações de rendimento separadas para brancos e negros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decompõe-se a diferença de médias na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twofold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(Blinder, 1973; Oaxaca, 1973)</w:t>
      </w:r>
      <w:r>
        <w:rPr>
          <w:rFonts w:ascii="Arial" w:hAnsi="Arial"/>
          <w:sz w:val="22"/>
        </w:rPr>
        <w:t xml:space="preserve">, tomando a estrutura de preços dos brancos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referência não discriminatória: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em que o primeiro termo é a parcela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o segundo, a de retornos. Duas especificações são reportadas: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(A) apenas capital humano e contexto de bairro, comparável à literatura;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(B) acrescentando horas, formalidade e grupo ocupacional como dotações.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adverte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Oaxaca; Ransom (1999)</w:t>
      </w:r>
      <w:r>
        <w:rPr>
          <w:rFonts w:ascii="Arial" w:hAnsi="Arial"/>
          <w:sz w:val="22"/>
        </w:rPr>
        <w:t xml:space="preserve">, a especificação (B) subestima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total, porque a segregação ocupacional é ela própria seu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— por isso ela é lida como limite inferior, e não como a estimativa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preferida. Os erros-padrão vêm de bootstrap em blocos de UPA, e não da fórmula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analítica, que pressupõe independência entre observações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(Cameron; Gelbach; Miller, 2008)</w:t>
      </w:r>
      <w:r>
        <w:rPr>
          <w:rFonts w:ascii="Arial" w:hAnsi="Arial"/>
          <w:sz w:val="22"/>
        </w:rPr>
        <w:t xml:space="preserve">.</w:t>
      </w:r>
    </w:p>
    <w:bookmarkEnd w:id="26"/>
    <w:bookmarkStart w:id="27" w:name="regressão-quantílica-e-decomposição-r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Regressão quantílica e decomposição RIF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(Koenker; Bassett, 1978)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cinco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rPr>
          <w:rFonts w:ascii="Arial" w:hAnsi="Arial"/>
          <w:sz w:val="22"/>
        </w:rPr>
        <w:t xml:space="preserve">), permitindo testar se a penalidade racial é constante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longo da distribuição. O teste de igualdade entre os quantis extremos usa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m-out-of-n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blocos de UPA, com reescala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(Bickel; Sakov, 2008)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necessária porque reamostrar todas as 40.969 UPAs a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réplica seria proibitivo com 7,7 milhões de observações.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Complementarmente, a decomposição RIF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aplicada aos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 da distribuição de renda, separando dotações e retornos em cada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ponto.</w:t>
      </w:r>
    </w:p>
    <w:bookmarkEnd w:id="27"/>
    <w:bookmarkStart w:id="28" w:name="modelo-logístico-multinível-de-acesso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 logístico multinível de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barreira de entrada é modelada por um GLMM logístico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de UPA, estimado por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R, para três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binários: ocupar cargo qualificado (grupos CBO 1–4), estar no quintil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estar no decil superior da renda. A estrutura multinível é a mesma do HLM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(Raudenbush; Bryk, 2002)</w:t>
      </w:r>
      <w:r>
        <w:rPr>
          <w:rFonts w:ascii="Arial" w:hAnsi="Arial"/>
          <w:sz w:val="22"/>
        </w:rPr>
        <w:t xml:space="preserve">, agora com função de ligação logit; o ICC do nível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é calculado por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, a formulação de variância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latente apropriada ao modelo logístico. Além da razão de chances, reporta-se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marginal médio em pontos percentuais, porque a razão de chances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Sensibilidade a variáveis omitidas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hipótese de seleção em observáveis não é testável, mas é possível quantificar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de confundimento não observado seria necessário para anular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resultados. Reportam-se duas medidas: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(VanderWeele; Ding, 2017)</w:t>
      </w:r>
      <w:r>
        <w:rPr>
          <w:rFonts w:ascii="Arial" w:hAnsi="Arial"/>
          <w:sz w:val="22"/>
        </w:rPr>
        <w:t xml:space="preserve">, que é a associação mínima — em razão de chances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um confundidor precisaria ter simultaneamente com a raça e com 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explicar o efeito observado; e o índice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expressa a fração da estimativa que precisaria ser viés para invalidar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inferência.</w:t>
      </w:r>
    </w:p>
    <w:bookmarkEnd w:id="29"/>
    <w:bookmarkStart w:id="30" w:name="subsec:inferencia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Inferência: erros-padrão agrupados, poucos clusters e pesos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rPr>
          <w:rFonts w:ascii="Arial" w:hAnsi="Arial"/>
          <w:sz w:val="22"/>
        </w:rP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de observações como independentes subestima os erros-padrão pelo fator de Moulton</w:t>
      </w:r>
      <w:r>
        <w:rPr>
          <w:rFonts w:ascii="Arial" w:hAnsi="Arial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Por isso, todos os modelos de regressão (OLS com efeitos fixos de UF, decomposição de Oaxaca–Blinder, regressão quantílica e logit) reportam erros-padrão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rPr>
          <w:rFonts w:ascii="Arial" w:hAnsi="Arial"/>
          <w:sz w:val="22"/>
        </w:rPr>
        <w:t xml:space="preserve">) a inferência assintótica é pouco confiável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; quando reportado, usa a distribuição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0,0006 (convencional) para 0,0011 (agrupado por UPA) e 0,0035 (agrupado por UF); para o regressor de contexto</w:t>
      </w:r>
      <w:r>
        <w:rPr>
          <w:rFonts w:ascii="Arial" w:hAnsi="Arial"/>
          <w:sz w:val="22"/>
        </w:rP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rPr>
          <w:rFonts w:ascii="Arial" w:hAnsi="Arial"/>
          <w:sz w:val="22"/>
        </w:rP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(UPA) e 51,9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(UF) — a assinatura do efeito Moulton. Como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amostrais.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são estimados sem o peso amostral da PNAD (V1028), isto é, descrevem a regressão na amostra, não a regressão populacional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 Como robustez, o M3 foi reestimado por mínimos quadrados ponderados com V1028 e erro-padrão agrupado por UPA: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Random Forest, XGBoost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predição do log-rendimento, foram ajustados dois modelos de ensemble: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(i) </w:t>
      </w:r>
      <w:r>
        <w:rPr>
          <w:rFonts w:ascii="Arial" w:hAnsi="Arial"/>
          <w:sz w:val="22"/>
        </w:rPr>
        <w:t xml:space="preserve">Random Forest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(Breiman, 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200 árvores e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máxima 10; e (ii) 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(Chen; Guestrin, 2016)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300 iterações, taxa de aprendizado</w:t>
      </w:r>
      <w:r>
        <w:rPr>
          <w:rFonts w:ascii="Arial" w:hAnsi="Arial"/>
          <w:sz w:val="22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rPr>
          <w:rFonts w:ascii="Arial" w:hAnsi="Arial"/>
          <w:sz w:val="22"/>
        </w:rPr>
        <w:t xml:space="preserve">, profundidade máxima 10 e regularização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Arial" w:hAnsi="Arial"/>
          <w:sz w:val="22"/>
        </w:rPr>
        <w:t xml:space="preserve">. A profundidade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escolhida por validação cruzada (Tabela Tabela 4), e não por conveniência;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modelos usam o mesmo conjunto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features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mesma partição de teste. Sobre o modelo XGBoost,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foi aplicado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TreeExplainer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biblioteca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(Lundberg; Lee, 2017)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um subsample de 50.000 observações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calcular os valores de Shapley de cada feature.</w:t>
      </w:r>
    </w:p>
    <w:bookmarkEnd w:id="31"/>
    <w:bookmarkEnd w:id="32"/>
    <w:bookmarkStart w:id="89" w:name="resultados-e-discuss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Resultados e Discussão</w:t>
      </w:r>
    </w:p>
    <w:bookmarkStart w:id="38" w:name="subsec:hlm_resultado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Modelos Hierárquicos Lineares — Mediação Contextual do Gap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Esta seção documenta como o território amplifica o gap racial: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bairro de moradia não é apenas contexto — é parte do mecanismo de exclusão.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Tabela 2 apresenta os cinco degraus da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step-up</w:t>
      </w:r>
      <w:r>
        <w:rPr>
          <w:rFonts w:ascii="Arial" w:hAnsi="Arial"/>
          <w:sz w:val="22"/>
        </w:rPr>
        <w:t xml:space="preserve">, do modelo nulo (M0) ao modelo com ocupação (M4), todos com intercepto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 por UPA e estimados por máxima verossimilhança sobre a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Nota: acompanhe 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Raça (negro)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esquerda para a direita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coluna acrescenta um bloco de controles e o coeficiente se aproxima de zero; 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linhas de baixo dizem quanto da variância entre bairros cada bloco explica e se o degrau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melhora o ajuste (LR).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Quanto da renda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: o modelo nulo.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M0 estima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36,9% da variância 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log-rendimento está entre bairros</w:t>
      </w:r>
      <w:r>
        <w:rPr>
          <w:rFonts w:ascii="Arial" w:hAnsi="Arial"/>
          <w:sz w:val="22"/>
        </w:rPr>
        <w:t xml:space="preserve">, muito acima do limiar de 5%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Raudenbush; Bryk (2002)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da parcela entre estados (cerca de 10%, no modelo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alternativo com UF aleatória usado como robustez). A estrutura aninhada não é um detalhe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técnico: ignorá-la trataria como independentes pessoas que compartilham o mesmo mercado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trabalho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agregado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dentro do bairro (M1).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escolaridade, idade, sexo, horas, situação urbana e ano,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de bairro (OLS com efeitos fixos de UF, Inferência: erros-padrão agrupados, poucos clusters e pesos),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trabalhadores negros recebem 19,1% a menos que brancos comparáveis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rPr>
          <w:rFonts w:ascii="Arial" w:hAnsi="Arial"/>
          <w:sz w:val="22"/>
        </w:rPr>
        <w:t xml:space="preserve">). O M1 acrescenta o intercepto aleatório de UPA e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[−0,1135; −0,1113]),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10,6% a menos</w:t>
      </w:r>
      <w:r>
        <w:rPr>
          <w:rFonts w:ascii="Arial" w:hAnsi="Arial"/>
          <w:sz w:val="22"/>
        </w:rPr>
        <w:t xml:space="preserve">. A diferença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 dois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47,0% do gap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é a parcela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que transita pela segregação residencial: negros e brancos com o mesmo capital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humano não moram nos mesmos bairros, e os bairros pagam diferente. Esse é o teste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 H2. Os controles individuais explicam, além disso, 55,2%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variância entre bairros do M0: parte do que parecia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“bairro”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composição de quem mora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nele.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faz de um bairro um bairro (M2).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três covariáveis de nível 2 explicam 40,1% da variância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0,1509 para 0,0903;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19.536, 3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). O coeficiente de composição racial,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(SE 0,0017), indica que um desvio-padrão 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proporção de negros da UPA reduz o log-rendimento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moradores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0,22 pontos — da mesma ordem da penalidade individual — a evidência 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duplo disadvantage</w:t>
      </w:r>
      <w:r>
        <w:rPr>
          <w:rFonts w:ascii="Arial" w:hAnsi="Arial"/>
          <w:sz w:val="22"/>
        </w:rPr>
        <w:t xml:space="preserve">. O coeficiente individual mal se move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rPr>
          <w:rFonts w:ascii="Arial" w:hAnsi="Arial"/>
          <w:sz w:val="22"/>
        </w:rPr>
        <w:t xml:space="preserve">): dentro do bairro, a penalidade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depende de quem são os vizinhos; o bairro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(onde se consegue morar), não pelo salário de quem já está lá.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Gap líquido (M3).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os efeitos fixos de UF,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(IC 95%: [−0,1087; −0,1066]):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 de 10,2%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humano, contexto de bairro e estado não explicam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direta sob seleção em observáveis. O ICC cai para 0,144 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controles explicam 78,9% da variância entre bairros do M0.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Dentro da mesma ocupação (M4).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Acrescentar vínculo e grupo CBO leva a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(7,0%). A queda adicional — 16,6% do gap agregado —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“explicação”</w:t>
      </w:r>
      <w:r>
        <w:rPr>
          <w:rFonts w:ascii="Arial" w:hAnsi="Arial"/>
          <w:sz w:val="22"/>
        </w:rPr>
        <w:t xml:space="preserve">,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canal</w:t>
      </w:r>
      <w:r>
        <w:rPr>
          <w:rFonts w:ascii="Arial" w:hAnsi="Arial"/>
          <w:sz w:val="22"/>
        </w:rPr>
        <w:t xml:space="preserve">: a ocupação é ela própria resultado da 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 logístico: o teto de vidro no acesso), por isso o M4 é um limite inferior descritivo.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penalidade varia entre bairros.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inclinação aleatória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UPA é significativa 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38.657,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 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, desvio-padrão de 0,171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log-pontos. Em bairros a um desvio-padrão da média a penalidade vai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−0,280 a 0,063 log-pontos — a discriminação salarial tem geografia,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covariância intercepto–inclinação de −0,0245 indica que a penalidade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nos bairros de renda-base mais alta. A Figura Figura 1 contrasta os efeitos fixos de estado com os interceptos estimados para os bairros.</w:t>
      </w:r>
    </w:p>
    <w:bookmarkStart w:id="36" w:name="fig:hlm_blups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25734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1. A variação entre bairros supera a variação entre estados. À esquerda,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 do M3 com IC 95% (referência: primeira UF); à direita,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rPr>
          <w:rFonts w:ascii="Arial" w:hAnsi="Arial"/>
          <w:sz w:val="22"/>
        </w:rPr>
        <w:t xml:space="preserve">, BLUPs do M3).</w:t>
      </w:r>
    </w:p>
    <w:bookmarkEnd w:id="3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Figura 1: cada ponto à esquerda é um estado;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largura do histograma à direita é o quanto a renda-base muda de um bairro para outro,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já descontados capital humano, contexto e estado.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Viés de variável omitida e sensibilidade.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coeficiente racial é uma associação condicional: pela fórmula do viés de variável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“curto”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iguala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“longo”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o efeito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omitido vezes sua relação com a raça. Qualidade da escola, habilidade não observada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redes de contato correlacionam-se negativamente com ser negro e positivamente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renda: omiti-las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— o que faz do M3 um limite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efeito de tratamento diferencial condicional a essas características. Na direção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oposta, os controles que são desfechos (ocupação no M4)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subestimam</w:t>
      </w:r>
      <w:r>
        <w:rPr>
          <w:rFonts w:ascii="Arial" w:hAnsi="Arial"/>
          <w:sz w:val="22"/>
        </w:rPr>
        <w:t xml:space="preserve">. O 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entre esses dois limites. Para anular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preciso um viés de 99,0% do coeficiente (Konfound,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Frank et al. (2013)</w:t>
      </w:r>
      <w:r>
        <w:rPr>
          <w:rFonts w:ascii="Arial" w:hAnsi="Arial"/>
          <w:sz w:val="22"/>
        </w:rPr>
        <w:t xml:space="preserve">),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 do modelo de acesso (Tabela Tabela 10) exige um confundidor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associado à raça e ao desfecho com razão de risco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mais forte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qualquer covariável observada.</w:t>
      </w:r>
    </w:p>
    <w:bookmarkStart w:id="37" w:name="tab:hlm_resultado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2. HLM de dois níveis (indivíduo em UPA) com efeitos fixos de UF — estratégia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step-up</w:t>
      </w:r>
      <w:r>
        <w:rPr>
          <w:rFonts w:ascii="Arial" w:hAnsi="Arial"/>
          <w:sz w:val="22"/>
        </w:rP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rPr>
          <w:rFonts w:ascii="Arial" w:hAnsi="Arial"/>
          <w:sz w:val="22"/>
        </w:rP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2. 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67"/>
        <w:gridCol w:w="494"/>
        <w:gridCol w:w="1550"/>
        <w:gridCol w:w="1653"/>
        <w:gridCol w:w="1653"/>
        <w:gridCol w:w="1653"/>
      </w:tblGrid>
      <w:tr>
        <w:trPr>
          <w:tblHeader w:val="on"/>
        </w:trPr>
        <w:tc>
          <w:tcPr>
            <w:tcW w:type="dxa" w:w="206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Variável</w:t>
            </w:r>
          </w:p>
        </w:tc>
        <w:tc>
          <w:tcPr>
            <w:tcW w:type="dxa" w:w="49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M0</w:t>
            </w:r>
          </w:p>
        </w:tc>
        <w:tc>
          <w:tcPr>
            <w:tcW w:type="dxa" w:w="155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M1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M2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M3</w:t>
            </w:r>
          </w:p>
        </w:tc>
        <w:tc>
          <w:tcPr>
            <w:tcW w:type="dxa" w:w="165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M4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Intercepto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7,3022 (0,0029)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4,2579 (0,0051)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4,2885 (0,0046)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4,5538 (0,0116)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4,7525 (0,0093)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Sexo feminino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−0,1944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−0,1945 (0,0005)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−0,2190 (0,0005)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(centrada)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0,0087 (2,1e-05)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 (1,9e-05)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−0,0005 (1,2e-06)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−0,0004 (1,1e-06)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−0,2007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−0,2002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−0,1986 (0,0038)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−0,1821 (0,0034)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−0,0537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−0,0545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−0,0547 (0,0027)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−0,0438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0,0521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0,0523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0,0537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−0,0034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−0,0033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−0,0030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−0,0043 (0,0033)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0,4233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0,4237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0,2194 (0,0023)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log(horas)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0,6823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0,6818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0,6815 (0,0006)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0,5979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Urbano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0,4348 (0,0045)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0,3771 (0,0036)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0,3347 (0,0033)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0,2026 (0,0026)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% negro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−0,2189 (0,0017)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−0,2508 (0,0025)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−0,1812 (0,0020)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Desemprego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−0,0542 (0,0016)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−0,0338 (0,0015)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−0,0275 (0,0012)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na UPA (</w:t>
            </w:r>
            <m:oMath>
              <m:r>
                <m:t>z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0,0055 (0,0013)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−0,0052 (0,0012)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0,1776 (0,0006)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−0,1725 (0,0007)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Trab. doméstico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−0,1272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0,7777 (0,0013)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profissional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0,8720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0,5009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0,2639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0,1832 (0,0008)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0,0892 (0,0011)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0,1976 (0,0009)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operador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0,2294 (0,0010)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0,9199 (0,0024)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 95% de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[−0,1135; −0,1113]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−0,1065]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[−0,1087; −0,1066]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[−0,0734; −0,0714]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Efeitos fixos de UF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não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sim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2)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0,3370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0,1509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0,0903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0,0430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(nível 1)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0,5759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0,3440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0,369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0,144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0,111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explicada vs. M0 (%)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55,2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78,9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87,2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 (deviance)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17.751.140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15.384.825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15.365.289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15.356.451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13.729.450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17.751.146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15.384.871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15.365.341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15.356.555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13.729.578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BIC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17.751.187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15.385.190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15.365.702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15.357.275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13.730.465</w:t>
            </w:r>
          </w:p>
        </w:tc>
      </w:tr>
      <w:tr>
        <w:tc>
          <w:tcPr>
            <w:tcW w:type="dxa" w:w="2067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, g.l.)</w:t>
            </w:r>
          </w:p>
        </w:tc>
        <w:tc>
          <w:tcPr>
            <w:tcW w:type="dxa" w:w="49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2.366.315 (20)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19.536 (3)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8.838 (26)</w:t>
            </w:r>
          </w:p>
        </w:tc>
        <w:tc>
          <w:tcPr>
            <w:tcW w:type="dxa" w:w="165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1.627.001 (12)</w:t>
            </w:r>
          </w:p>
        </w:tc>
      </w:tr>
      <w:tr>
        <w:tc>
          <w:tcPr>
            <w:tcW w:type="dxa" w:w="206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p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LR</w:t>
            </w:r>
          </w:p>
        </w:tc>
        <w:tc>
          <w:tcPr>
            <w:tcW w:type="dxa" w:w="49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55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>
            <w:tcW w:type="dxa" w:w="165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i/>
          <w:iCs/>
          <w:sz w:val="22"/>
        </w:rPr>
        <w:t xml:space="preserve">Inclinação aleatória de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Style w:val="VerbatimChar"/>
          <w:rFonts w:ascii="Arial" w:hAnsi="Arial"/>
          <w:i/>
          <w:iCs/>
          <w:sz w:val="22"/>
        </w:rPr>
        <w:t xml:space="preserve">negro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 UPA (M3 +</w:t>
      </w:r>
      <w:r>
        <w:rPr>
          <w:rFonts w:ascii="Arial" w:hAnsi="Arial"/>
          <w:i/>
          <w:iCs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rFonts w:ascii="Arial" w:hAnsi="Arial"/>
          <w:i/>
          <w:iCs/>
          <w:sz w:val="22"/>
        </w:rPr>
        <w:t xml:space="preserve">):</w:t>
      </w:r>
      <w:r>
        <w:rPr>
          <w:rFonts w:ascii="Arial" w:hAnsi="Arial"/>
          <w:sz w:val="22"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(DP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rPr>
          <w:rFonts w:ascii="Arial" w:hAnsi="Arial"/>
          <w:sz w:val="22"/>
        </w:rPr>
        <w:t xml:space="preserve">; 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 g.l.),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: a penalidade racial varia entre bairros;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End w:id="38"/>
    <w:bookmarkStart w:id="51" w:name="subsec:ml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Modelos de Machine Learning e SHAP Values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Tabela 3 apresenta o desempenho preditivo dos dois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o conjunto de teste (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20%).</w:t>
      </w:r>
    </w:p>
    <w:bookmarkStart w:id="39" w:name="tab:ml_perf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3. Desempenho preditivo — Random Forest, XGBoost e XGBoost sem renda de vizinhança (robustez ao problema do reflexo).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Hold-out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milhão).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3. Desempenho preditivo — Random Forest, XGBoost e XGBoost sem renda de vizinhança (robustez ao problema do reflexo). Hold-out 20% da população (N_\text{teste}\approx 1{,}54 milhão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61"/>
        <w:gridCol w:w="919"/>
        <w:gridCol w:w="919"/>
        <w:gridCol w:w="919"/>
        <w:gridCol w:w="2452"/>
      </w:tblGrid>
      <w:tr>
        <w:trPr>
          <w:tblHeader w:val="on"/>
        </w:trPr>
        <w:tc>
          <w:tcPr>
            <w:tcW w:type="dxa" w:w="386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Modelo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MAE</w:t>
            </w:r>
          </w:p>
        </w:tc>
        <w:tc>
          <w:tcPr>
            <w:tcW w:type="dxa" w:w="9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RMSE</w:t>
            </w:r>
          </w:p>
        </w:tc>
        <w:tc>
          <w:tcPr>
            <w:tcW w:type="dxa" w:w="245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Gap treino–teste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Random Forest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0,5689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0,4557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0,6070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0,0015</w:t>
            </w:r>
          </w:p>
        </w:tc>
      </w:tr>
      <w:tr>
        <w:tc>
          <w:tcPr>
            <w:tcW w:type="dxa" w:w="386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XGBoost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0,6280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0,4218</w:t>
            </w:r>
          </w:p>
        </w:tc>
        <w:tc>
          <w:tcPr>
            <w:tcW w:type="dxa" w:w="91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0,5639</w:t>
            </w:r>
          </w:p>
        </w:tc>
        <w:tc>
          <w:tcPr>
            <w:tcW w:type="dxa" w:w="245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0,0090</w:t>
            </w:r>
          </w:p>
        </w:tc>
      </w:tr>
      <w:tr>
        <w:tc>
          <w:tcPr>
            <w:tcW w:type="dxa" w:w="386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XGBoost (sem renda da UPA)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0,5983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0,4402</w:t>
            </w:r>
          </w:p>
        </w:tc>
        <w:tc>
          <w:tcPr>
            <w:tcW w:type="dxa" w:w="9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0,5860</w:t>
            </w:r>
          </w:p>
        </w:tc>
        <w:tc>
          <w:tcPr>
            <w:tcW w:type="dxa" w:w="245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0,0092</w:t>
            </w:r>
          </w:p>
        </w:tc>
      </w:tr>
    </w:tbl>
    <w:bookmarkEnd w:id="39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 Tabela 3: R</w:t>
      </w:r>
      <w:r>
        <w:rPr>
          <w:rFonts w:ascii="Arial" w:hAnsi="Arial"/>
          <w:sz w:val="22"/>
          <w:vertAlign w:val="superscript"/>
        </w:rPr>
        <w:t xml:space="preserve">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alto = melhor previsão;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 próximo de zero indica ausência de sobreajuste.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de 0,62 (XGBoost) é elevado para dados de rendimento individual,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variância não observada (setor, cargo, tempo de serviço)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pela maior parte do resíduo.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Escolha de hiperparâmetros e validação cruzada.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profundidade das árvores, a taxa de aprendizado e o número de iterações não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fixados por conveniência: seis configurações foram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conjunto de treino — o teste permanece intocado —, e a vencedora foi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submetida a validação 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(Tabela Tabela 4). A configuração escolhida (profundidade 10) alcança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, contra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0,6143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±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0,0007 da profundidade 6 usada na versão anterior deste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trabalho, sem aumentar o sobreajuste. O 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quarta casa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decimal mostra que, com 6.155.355 observações de treino, o desempenho não depende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 parte dos dados é usada para validar — a validação cruzada aqui serve menos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estimar incerteza e mais para justificar a especificação.</w:t>
      </w:r>
    </w:p>
    <w:bookmarkStart w:id="40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75"/>
        <w:gridCol w:w="2651"/>
        <w:gridCol w:w="1535"/>
        <w:gridCol w:w="837"/>
        <w:gridCol w:w="837"/>
        <w:gridCol w:w="1535"/>
      </w:tblGrid>
      <w:tr>
        <w:trPr>
          <w:tblHeader w:val="on"/>
        </w:trPr>
        <w:tc>
          <w:tcPr>
            <w:tcW w:type="dxa" w:w="1535"/>
            <w:gridSpan w:val="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A. Busca na partição de validação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Profundidade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Taxa de aprendizado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Árvores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Sobreajuste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10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0,6252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0,4229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0,0067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0,6207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0,4257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0,0040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0,6179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0,4275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0,0022</w:t>
            </w:r>
          </w:p>
        </w:tc>
      </w:tr>
      <w:tr>
        <w:tc>
          <w:tcPr>
            <w:tcW w:type="dxa" w:w="1675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265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 (atual)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0,6140</w:t>
            </w:r>
          </w:p>
        </w:tc>
        <w:tc>
          <w:tcPr>
            <w:tcW w:type="dxa" w:w="83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</w:p>
        </w:tc>
        <w:tc>
          <w:tcPr>
            <w:tcW w:type="dxa" w:w="153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</w:t>
            </w:r>
          </w:p>
        </w:tc>
      </w:tr>
      <w:tr>
        <w:tc>
          <w:tcPr>
            <w:tcW w:type="dxa" w:w="16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26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0,05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300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0,6030</w:t>
            </w:r>
          </w:p>
        </w:tc>
        <w:tc>
          <w:tcPr>
            <w:tcW w:type="dxa" w:w="8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0,4370</w:t>
            </w:r>
          </w:p>
        </w:tc>
        <w:tc>
          <w:tcPr>
            <w:tcW w:type="dxa" w:w="153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4. Escolha de hiperparâmetros e validação cruzada do XGBoost (Alencar, 2024;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Géron, 2021). Painel A: seis configurações comparadas numa partição de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treino — o conjunto de teste permanece intocado. Painel B: validação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cruzada</w:t>
      </w:r>
      <w:r>
        <w:rPr>
          <w:rFonts w:ascii="Arial" w:hAnsi="Arial"/>
          <w:sz w:val="22"/>
        </w:rPr>
        <w:t xml:space="preserve"> </w:t>
      </w:r>
      <m:oMath>
        <m:r>
          <m:t>k</m:t>
        </m:r>
      </m:oMath>
      <w:r>
        <w:rPr>
          <w:rFonts w:ascii="Arial" w:hAnsi="Arial"/>
          <w:sz w:val="22"/>
        </w:rPr>
        <w:t xml:space="preserve">-</w:t>
      </w:r>
      <w:r>
        <w:rPr>
          <w:rFonts w:ascii="Arial" w:hAnsi="Arial"/>
          <w:i/>
          <w:iCs/>
          <w:sz w:val="22"/>
        </w:rPr>
        <w:t xml:space="preserve">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ascii="Arial" w:hAnsi="Arial"/>
          <w:sz w:val="22"/>
        </w:rPr>
        <w:t xml:space="preserve">) no treino completo, com média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desvio-padrão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. População completa: 6.155.355 observações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 e 1.538.839 de teste; nenhuma amostragem.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4. 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8"/>
        <w:gridCol w:w="2268"/>
        <w:gridCol w:w="2268"/>
        <w:gridCol w:w="2268"/>
      </w:tblGrid>
      <w:tr>
        <w:trPr>
          <w:tblHeader w:val="on"/>
        </w:trPr>
        <w:tc>
          <w:tcPr>
            <w:tcW w:type="dxa" w:w="2268"/>
            <w:gridSpan w:val="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B. Validação cruzada no treino (5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i/>
                <w:iCs/>
                <w:sz w:val="22"/>
              </w:rPr>
              <w:t xml:space="preserve">folds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)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Configuração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(média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dp)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MAE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RMSE</w:t>
            </w:r>
          </w:p>
        </w:tc>
      </w:tr>
      <w:tr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Escolhida (profundidade 10)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0,6281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0,4213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  <w:tc>
          <w:tcPr>
            <w:tcW w:type="dxa" w:w="226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0,5628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0,0003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Anterior (profundidade 6)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0,6143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0,0007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0,4300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0,0001</w:t>
            </w:r>
          </w:p>
        </w:tc>
        <w:tc>
          <w:tcPr>
            <w:tcW w:type="dxa" w:w="226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0,5732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0,0002</w:t>
            </w:r>
          </w:p>
        </w:tc>
      </w:tr>
    </w:tbl>
    <w:bookmarkEnd w:id="41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“Sobreajuste”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diferença entre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validação — valores próximos de zero indicam que o modelo não decorou os dados.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configuração escolhida melhora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1,4 ponto percentual sem aumentar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sobreajuste, e a variação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folds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da ordem de 0,0007 — com 6,2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 de treino, o desempenho praticamente não depende de qual pedaço dos dados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usado para validar. No conjunto de teste (intocado durante a escolha),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unidade original, o erro mediano de previsão é de R$ 538 por mês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(37% do rendimento observado), com correção de Duan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retransformação do logaritmo.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erro na unidade original.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preveem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logaritmo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rendimento; para o leitor, o que importa é o erro em reais. Retransformando com a correção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Duan (1983)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(fator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smearing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rPr>
          <w:rFonts w:ascii="Arial" w:hAnsi="Arial"/>
          <w:sz w:val="22"/>
        </w:rPr>
        <w:t xml:space="preserve">), o erro mediano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R$ 538 por mês</w:t>
      </w:r>
      <w:r>
        <w:rPr>
          <w:rFonts w:ascii="Arial" w:hAnsi="Arial"/>
          <w:sz w:val="22"/>
        </w:rPr>
        <w:t xml:space="preserve">, ou 37% do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 — a ordem de grandeza que se deve ter em mente ao ler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: o modelo acerta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posição relativa das pessoas muito melhor do que o valor exato do salário de cada uma.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Ausência de sobreajuste (população completa).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treino 80%/teste 20%),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método não-paramétrico não apresenta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overfitting</w:t>
      </w:r>
      <w:r>
        <w:rPr>
          <w:rFonts w:ascii="Arial" w:hAnsi="Arial"/>
          <w:sz w:val="22"/>
        </w:rPr>
        <w:t xml:space="preserve">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treino 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 praticamente coincidem (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XGBoost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o Random Forest). Três evidências convergem: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treino–teste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Arial" w:hAnsi="Arial"/>
          <w:sz w:val="22"/>
        </w:rPr>
        <w:t xml:space="preserve">; a razão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complexidade (modelos regularizados sobre 7,7 milhões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observações); e a estabilidade do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teste entre a subamostra de 20%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(praticamente idêntico,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rPr>
          <w:rFonts w:ascii="Arial" w:hAnsi="Arial"/>
          <w:sz w:val="22"/>
        </w:rPr>
        <w:t xml:space="preserve">). Em suma,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ampliar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base, de amostral para populacional,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não aumenta — o risco de sobreajuste. A Tabela Tabela 5 traz o ranking completo das variáveis nos dois modelos.</w:t>
      </w:r>
    </w:p>
    <w:bookmarkStart w:id="42" w:name="tab:shap_importanc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5. 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 Valores: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médio. Destaque em negrito: variáveis raciais/contextuais.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5. Importância SHAP Comparada — Random Forest e XGBoost. Predição de log-rendimento, PNAD 2016–2025 (N_{\text{SHAP}}=50.000). Valores: |\text{SHAP}| médio. Destaque em negrito: variáveis raciais/contextuai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89"/>
        <w:gridCol w:w="1585"/>
        <w:gridCol w:w="906"/>
        <w:gridCol w:w="1585"/>
        <w:gridCol w:w="906"/>
      </w:tblGrid>
      <w:tr>
        <w:trPr>
          <w:tblHeader w:val="on"/>
        </w:trPr>
        <w:tc>
          <w:tcPr>
            <w:tcW w:type="dxa" w:w="40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Feature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RF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RF</w:t>
            </w:r>
          </w:p>
        </w:tc>
        <w:tc>
          <w:tcPr>
            <w:tcW w:type="dxa" w:w="158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Arial" w:hAnsi="Arial"/>
                <w:b w:val="0"/>
                <w:bCs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bCs/>
                <w:sz w:val="22"/>
              </w:rPr>
              <w:t xml:space="preserve">XGB</w:t>
            </w:r>
          </w:p>
        </w:tc>
        <w:tc>
          <w:tcPr>
            <w:tcW w:type="dxa" w:w="90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Rank XGB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Renda média UPA (exceto o próprio)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0,32538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0,25705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Horas trabalhadas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0,16918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0,16727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Profissionais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Emprego formal (carteira)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0,14821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0,11753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Gênero (feminino)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0,09288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 (centralizada)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0,06494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0,09663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não registrada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0,03203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0,07138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Conta própria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0,02089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0,06304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Técnicos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0,03709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0,04778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Dirigentes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0,04102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Raça (negro)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0,03140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Serviços/Vendas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0,00052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0,03046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0,02735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0,02493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Operários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0,00072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0,02415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Op. Máquinas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0,02239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Administrativo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0,00234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14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0,01974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Trabalho doméstico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0,00651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0,01873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18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Desemprego no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0,00036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0,01746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Agropecuária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0,00133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0,01583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20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Idade² (experiência)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0,00641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0,01534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21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% Negro na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0,01320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22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CBO: FFAA/Polícia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0,01110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11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0,01311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UPA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0,00009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23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0,01157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 média Estado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0,00067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0,00908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25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superior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0,00517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médio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0,00001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0,00475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</w:t>
            </w:r>
          </w:p>
        </w:tc>
      </w:tr>
      <w:tr>
        <w:tc>
          <w:tcPr>
            <w:tcW w:type="dxa" w:w="40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fundamental completo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0,00104</w:t>
            </w:r>
          </w:p>
        </w:tc>
        <w:tc>
          <w:tcPr>
            <w:tcW w:type="dxa" w:w="90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</w:tr>
      <w:tr>
        <w:tc>
          <w:tcPr>
            <w:tcW w:type="dxa" w:w="40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Educ.: pós-graduação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0,00000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</w:t>
            </w:r>
          </w:p>
        </w:tc>
        <w:tc>
          <w:tcPr>
            <w:tcW w:type="dxa" w:w="158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0,00011</w:t>
            </w:r>
          </w:p>
        </w:tc>
        <w:tc>
          <w:tcPr>
            <w:tcW w:type="dxa" w:w="90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29</w:t>
            </w:r>
          </w:p>
        </w:tc>
      </w:tr>
    </w:tbl>
    <w:bookmarkEnd w:id="42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Tabela Tabela 5: 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); valores maiores = maior peso na previsão da renda. A Figura  mostra a distribuição dos valores de contribuição por variável.</w:t>
      </w:r>
    </w:p>
    <w:bookmarkStart w:id="46" w:name="fig:sh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753100" cy="452810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2. Contexto do bairro e jornada dominam a previsão de renda; a raça aparece na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posição entre 29 preditores (SHAP, XGBoost,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rPr>
          <w:rFonts w:ascii="Arial" w:hAnsi="Arial"/>
          <w:sz w:val="22"/>
        </w:rPr>
        <w:t xml:space="preserve">).</w:t>
      </w:r>
    </w:p>
    <w:bookmarkEnd w:id="4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Figura 2: cada ponto é um trabalhador; quanto mais à direita (ou maior a barra), maior o efeito da variável na renda prevista. A cor indica se o valor da variável é alto ou baixo.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Tabela 5 mostra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contexto do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de maior peso do rendimento individual. A variável usada aqui é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excluindo o próprio indivíduo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): a média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inclui a própria pessoa é mecanicamente correlacionada com seu rendimento —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problema do reflexo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(Manski, 1993)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e inflaria artificialmente a importância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 Mesmo sem essa contaminação, o bairro permanece entre os preditores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primeira ordem, o que é consistente com a hipótese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Wilson (1987)</w:t>
      </w:r>
      <w:r>
        <w:rPr>
          <w:rFonts w:ascii="Arial" w:hAnsi="Arial"/>
          <w:sz w:val="22"/>
        </w:rPr>
        <w:t xml:space="preserve">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 correta, porém,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— choques comuns ao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(mercado de trabalho local, transporte, redes) afetam todos os moradores — e não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causal de um vizinho sobre o outro. Como checagem extrema, o mesmo XGBoost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qualquer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renda de vizinhança perde pouco poder preditivo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contra 0,628 do modelo completo) e, nele, a contribuição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média da raça é praticamente a mesma (0,031 contra 0,031 em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): o sinal racial não é um artefato da variável de contexto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muda apenas a posição relativa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ranking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(17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28, contra 11</w:t>
      </w:r>
      <w:r>
        <w:rPr>
          <w:rFonts w:ascii="Arial" w:hAnsi="Arial"/>
          <w:sz w:val="22"/>
          <w:vertAlign w:val="superscript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29), porque as demais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variáveis absorvem parte do que o território explicava.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 no ranking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importância mesmo após controlar por todos os demais fatores, com SHAP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médio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trabalhadores negros — equivalente 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de 4,6% sobre o rendimento predito que não pode ser atribuída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diferenças em educação, experiência, gênero ou contexto de moradia. A Figura Figura 3 ilustra como a previsão de um caso individual é composta.</w:t>
      </w:r>
    </w:p>
    <w:bookmarkStart w:id="50" w:name="fig:shap_w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3566922" cy="323730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3. Como a previsão de um caso é construída: decomposição SHAP individual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waterfall</w:t>
      </w:r>
      <w:r>
        <w:rPr>
          <w:rFonts w:ascii="Arial" w:hAnsi="Arial"/>
          <w:sz w:val="22"/>
        </w:rPr>
        <w:t xml:space="preserve">) de um trabalhador negro de baixa renda. Valores em log-pontos;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contribuição da variável racial aparece isolada das demais.</w:t>
      </w:r>
    </w:p>
    <w:bookmarkEnd w:id="50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Figura 3: cada linha é uma variável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1"/>
    <w:bookmarkStart w:id="57" w:name="X03c9c993697b2951d32c364cc1a724101cab21e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do gap por mediação contextual e ocupacional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Tabela 6 resume o resultado central dos modelos HLM: à medida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se adiciona o bairro (intercepto aleatório e contexto da UPA), o estado e a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racial encolhe de 19,1% (agregado) para 7,0% (M4). Nota: acompanhe a coluna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aproximando-se de zero linha a linha — a fração do gap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 aparece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; o que resta no M4 é a penalidade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nenhum atributo observável explica.</w:t>
      </w:r>
    </w:p>
    <w:bookmarkStart w:id="52" w:name="tab:mediacao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6. Decomposição do gap salarial racial por mediação contextual e ocupacional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 de dois níveis, indivíduos em UPA, com efeitos fixos de UF; PNAD Contínua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2016–2025, população completa). Cada linha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acrescenta um bloco de controles ao anterior; à medida que se adiciona contexto e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encolhe e a mediação acumulada cresce.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6. 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19"/>
        <w:gridCol w:w="1510"/>
        <w:gridCol w:w="1079"/>
        <w:gridCol w:w="863"/>
      </w:tblGrid>
      <w:tr>
        <w:trPr>
          <w:tblHeader w:val="on"/>
        </w:trPr>
        <w:tc>
          <w:tcPr>
            <w:tcW w:type="dxa" w:w="561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 (controles acumulados)</w:t>
            </w:r>
          </w:p>
        </w:tc>
        <w:tc>
          <w:tcPr>
            <w:tcW w:type="dxa" w:w="15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>
            <w:tcW w:type="dxa" w:w="107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(%)</w:t>
            </w:r>
          </w:p>
        </w:tc>
        <w:tc>
          <w:tcPr>
            <w:tcW w:type="dxa" w:w="86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Mediação acum. (%)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Agregado: individual + UF, sem efeito de bairro (OLS)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−0,2123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−19,1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M1: + intercepto aleatório de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−0,1124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−10,6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47,0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M2: + contexto do bairro (UPA)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−0,1076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M3: + efeitos fixos de UF (gap líquido)</w:t>
            </w:r>
          </w:p>
        </w:tc>
        <w:tc>
          <w:tcPr>
            <w:tcW w:type="dxa" w:w="151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−0,1077</w:t>
            </w:r>
          </w:p>
        </w:tc>
        <w:tc>
          <w:tcPr>
            <w:tcW w:type="dxa" w:w="107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−10,2</w:t>
            </w:r>
          </w:p>
        </w:tc>
        <w:tc>
          <w:tcPr>
            <w:tcW w:type="dxa" w:w="863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49,3</w:t>
            </w:r>
          </w:p>
        </w:tc>
      </w:tr>
      <w:tr>
        <w:tc>
          <w:tcPr>
            <w:tcW w:type="dxa" w:w="561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M4: + ocupação e formalidade (limite inferior)</w:t>
            </w:r>
          </w:p>
        </w:tc>
        <w:tc>
          <w:tcPr>
            <w:tcW w:type="dxa" w:w="15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−0,0724</w:t>
            </w:r>
          </w:p>
        </w:tc>
        <w:tc>
          <w:tcPr>
            <w:tcW w:type="dxa" w:w="107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−7,0</w:t>
            </w:r>
          </w:p>
        </w:tc>
        <w:tc>
          <w:tcPr>
            <w:tcW w:type="dxa" w:w="86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65,9</w:t>
            </w:r>
          </w:p>
        </w:tc>
      </w:tr>
    </w:tbl>
    <w:bookmarkEnd w:id="52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cada linha adiciona algo à anterior.</w:t>
      </w:r>
      <w:r>
        <w:rPr>
          <w:rFonts w:ascii="Arial" w:hAnsi="Arial"/>
          <w:sz w:val="22"/>
        </w:rP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penalidade racial em log-rendimento (mais próximo de zero = menor gap);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(%)”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em % de renda;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“Mediação acum.”</w:t>
      </w:r>
      <w:r>
        <w:rPr>
          <w:rFonts w:ascii="Arial" w:hAnsi="Arial"/>
          <w:sz w:val="22"/>
        </w:rPr>
        <w:t xml:space="preserve"> é a fração do gap agregado (primeira linha) já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explicada. O salto da primeira para a segunda linha é a mediação pela segregação residencial: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comparar negros e brancos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do mesmo 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reduz o gap quase à metade. Do modelo agregado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M4 o gap cai de 19,1% para 7,0%: 65,9% do gap é mediado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a pessoa mora, o estado e a ocupação que acessa — e a penalidade de 7,0% 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da mesma ocupação (limite inferior, pois a ocupação é ela própria resultado da barreira de acesso).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Figura 4 resume a sequência de degraus em barras.</w:t>
      </w:r>
    </w:p>
    <w:bookmarkStart w:id="56" w:name="fig:hlm_gap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292852" cy="257177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4. Metade do gap racial desaparece ao comparar pessoas do mesmo bairro — e 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sobra não é explicado por escolaridade, idade, sexo, estado nem ocupação. Barras: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cada modelo; traço: IC 95% (estreito pelo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rótulo: gap em % de renda. Em azul, o M3 (gap líquido).</w:t>
      </w:r>
    </w:p>
    <w:bookmarkEnd w:id="5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Figura 4: 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Decomposição de Oaxaca–Blinder: composição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discriminação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decomposição de Oaxaca–Blinder separa o gap bruto de log-rendimento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(0,4255 log-pontos, ou 53,0%) em uma parcela explicada por diferenças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dotações e uma parcela não explicada (retornos diferenciais — limite inferior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discriminação). A Tabela Tabela 7 apresenta duas especificações,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ocupação e formalidade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 &amp; Pischke, 2009):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são elas próprias resultado da discriminação. Em (A), com os controles do HLM M3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 de UPA), 28,4% do gap não é explicado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em (B), tratando também horas, formalidade e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como dotações, a parcela não explicada cai para 16,2%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discriminação salarial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ocupação. A diferença entre as duas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(12,2 pontos percentuais) é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das ocupações, e não pelo salário — exatamente o que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GLMM de acesso mede adiante. Nota: em cada coluna,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; os erros-padrão vêm de bootstrap em blocos por UPA.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Pressupostos das regressões por 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duas regressões auxiliares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 e negros) foram submetidas aos testes de Breusch–Pagan e RESET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(Fávero &amp; Belfiore, cap. 12). Há heterocedasticidade — esperada em log-rendimento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 magnitude modesta: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regressão auxiliar do Breusch–Pagan é 0,061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(brancos) e 0,065 (negros), e é justamente por isso que os erros-padrão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agrupados por UPA e a decomposição usa bootstrap em blocos. O RESET rejeita a forma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funcional linear, mas o ganho de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acrescentar potências do valor predito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0,0009 (brancos) e 0,0038 (negros) — irrelevante para a decomposição.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milhões, ambos os testes rejeitam qualquer hipótese nula pontual; o que importa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magnitude, não o</w:t>
      </w:r>
      <w:r>
        <w:rPr>
          <w:rFonts w:ascii="Arial" w:hAnsi="Arial"/>
          <w:sz w:val="22"/>
        </w:rPr>
        <w:t xml:space="preserve"> </w:t>
      </w:r>
      <m:oMath>
        <m:r>
          <m:t>p</m:t>
        </m:r>
      </m:oMath>
      <w:r>
        <w:rPr>
          <w:rFonts w:ascii="Arial" w:hAnsi="Arial"/>
          <w:sz w:val="22"/>
        </w:rPr>
        <w:t xml:space="preserve">-valor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(Angrist; Pischke, 2009)</w:t>
      </w:r>
      <w:r>
        <w:rPr>
          <w:rFonts w:ascii="Arial" w:hAnsi="Arial"/>
          <w:sz w:val="22"/>
        </w:rPr>
        <w:t xml:space="preserve">.</w:t>
      </w:r>
    </w:p>
    <w:bookmarkStart w:id="58" w:name="tab:oaxaca_blinder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7. Decomposição de Oaxaca–Blinder (</w:t>
      </w:r>
      <w:r>
        <w:rPr>
          <w:rFonts w:ascii="Arial" w:hAnsi="Arial"/>
          <w:i/>
          <w:iCs/>
          <w:sz w:val="22"/>
        </w:rPr>
        <w:t xml:space="preserve">twofold</w:t>
      </w:r>
      <w:r>
        <w:rPr>
          <w:rFonts w:ascii="Arial" w:hAnsi="Arial"/>
          <w:sz w:val="22"/>
        </w:rPr>
        <w:t xml:space="preserve">, 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 do gap salarial racial em duas especificações. (A) </w:t>
      </w:r>
      <w:r>
        <w:rPr>
          <w:rFonts w:ascii="Arial" w:hAnsi="Arial"/>
          <w:i/>
          <w:iCs/>
          <w:sz w:val="22"/>
        </w:rPr>
        <w:t xml:space="preserve">Capital humano +</w:t>
      </w:r>
      <w:r>
        <w:rPr>
          <w:rFonts w:ascii="Arial" w:hAnsi="Arial"/>
          <w:i/>
          <w:iCs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contexto</w:t>
      </w:r>
      <w:r>
        <w:rPr>
          <w:rFonts w:ascii="Arial" w:hAnsi="Arial"/>
          <w:sz w:val="22"/>
        </w:rPr>
        <w:t xml:space="preserve">: escolaridade, idade, sexo e contexto de UPA — os mesmos controles do HLM M3;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parcela não explicada é comparável à da literatura. (B) </w:t>
      </w:r>
      <w:r>
        <w:rPr>
          <w:rFonts w:ascii="Arial" w:hAnsi="Arial"/>
          <w:i/>
          <w:iCs/>
          <w:sz w:val="22"/>
        </w:rPr>
        <w:t xml:space="preserve">Acesso</w:t>
      </w:r>
      <w:r>
        <w:rPr>
          <w:rFonts w:ascii="Arial" w:hAnsi="Arial"/>
          <w:sz w:val="22"/>
        </w:rPr>
        <w:t xml:space="preserve">: (A) + horas,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formalidade e grupo CBO tratados como dotações — a parcela não explicada é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ocupação, um limite inferior, pois a segregação ocupacional é ela própria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discriminatória (Oaxaca &amp; Ransom, 1999; ver o GLMM de acesso, Tabela Tabela 10).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Erros-padrão entre parênteses: bootstrap em blocos por UPA (500 réplicas).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7. 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Tabela 10). População completa da PEA com renda positiva (N = 7.694.198; 40.969 UPAs). Erros-padrão entre parênteses: bootstrap em blocos por UPA (500 réplicas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74"/>
        <w:gridCol w:w="1190"/>
        <w:gridCol w:w="1190"/>
        <w:gridCol w:w="1859"/>
        <w:gridCol w:w="1859"/>
      </w:tblGrid>
      <w:tr>
        <w:trPr>
          <w:tblHeader w:val="on"/>
        </w:trPr>
        <w:tc>
          <w:tcPr>
            <w:tcW w:type="dxa" w:w="297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90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(A) Sem ocupação</w:t>
            </w:r>
          </w:p>
        </w:tc>
        <w:tc>
          <w:tcPr>
            <w:tcW w:type="dxa" w:w="1859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(B) Acesso (com ocupação)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Componente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log-pontos (SE)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% do gap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Gap total (branco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negro)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0,4255 (0,0034)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100,0</w:t>
            </w:r>
          </w:p>
        </w:tc>
      </w:tr>
      <w:tr>
        <w:tc>
          <w:tcPr>
            <w:tcW w:type="dxa" w:w="2974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Dotações (características observáveis)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0,3046 (0,0038)</w:t>
            </w:r>
          </w:p>
        </w:tc>
        <w:tc>
          <w:tcPr>
            <w:tcW w:type="dxa" w:w="1190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71,6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0,3566 (0,0036)</w:t>
            </w:r>
          </w:p>
        </w:tc>
        <w:tc>
          <w:tcPr>
            <w:tcW w:type="dxa" w:w="185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83,8</w:t>
            </w:r>
          </w:p>
        </w:tc>
      </w:tr>
      <w:tr>
        <w:tc>
          <w:tcPr>
            <w:tcW w:type="dxa" w:w="297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Não explicado (retornos / discriminação)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0,1209 (0,0018)</w:t>
            </w:r>
          </w:p>
        </w:tc>
        <w:tc>
          <w:tcPr>
            <w:tcW w:type="dxa" w:w="119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28,4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0,0689 (0,0013)</w:t>
            </w:r>
          </w:p>
        </w:tc>
        <w:tc>
          <w:tcPr>
            <w:tcW w:type="dxa" w:w="185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16,2</w:t>
            </w:r>
          </w:p>
        </w:tc>
      </w:tr>
    </w:tbl>
    <w:bookmarkEnd w:id="5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em cada especificação,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explicado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total.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(A) para (B), parte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“não 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migra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“dotações”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porque a ocupação passa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 tratada como característica — é exatamente a parcela da discriminação que opera pela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porta de entrada</w:t>
      </w:r>
      <w:r>
        <w:rPr>
          <w:rFonts w:ascii="Arial" w:hAnsi="Arial"/>
          <w:sz w:val="22"/>
        </w:rPr>
        <w:t xml:space="preserve">, e não pelo salário.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Figura 5 apresenta as duas especificações em forma de cascata.</w:t>
      </w:r>
    </w:p>
    <w:bookmarkStart w:id="62" w:name="fig:ob_cascata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19617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5. Tratar a ocupação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“característica”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derruba pela metade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medida: de 28,4% para 16,2% do gap. A parcela que some é a que opera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porta de entrada das ocupações — medida adiante pelo modelo de acesso.</w:t>
      </w:r>
    </w:p>
    <w:bookmarkEnd w:id="62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Figura 5: 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Regressão Quantílica e RIF-OB: teto de vidro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sticky floor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regressão quantílica estima o gap em cada ponto da distribuição de renda;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RIF-OB separa, por quantil, dotação e retorno. A Tabela Tabela 8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o gap crescendo ao longo da distribuição (teto de vidro no gap bruto);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 Tabela 9 revela o padrão complementar: o componente de retorno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proporcional) é maior na base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rumo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sticky floor</w:t>
      </w:r>
      <w:r>
        <w:rPr>
          <w:rFonts w:ascii="Arial" w:hAnsi="Arial"/>
          <w:sz w:val="22"/>
        </w:rPr>
        <w:t xml:space="preserve">). Nota: na Tabela Tabela 9,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cada quantil; siga a coluna Retornos caindo de</w:t>
      </w:r>
      <w:r>
        <w:rPr>
          <w:rFonts w:ascii="Arial" w:hAnsi="Arial"/>
          <w:sz w:val="22"/>
        </w:rP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(q10)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(q90) — a discriminação de preço pesa mais na base.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Por que os dois padrões não se contradizem.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regressão quantílica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compara negros e brancos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mesma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distribuição de pessoas com o mesmo perfil observável.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crescimento 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longo de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 que a dispersão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do rendimento é maior entre brancos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fanning out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linguagem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 e não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“os negros do topo sofrem mais”</w:t>
      </w:r>
      <w:r>
        <w:rPr>
          <w:rFonts w:ascii="Arial" w:hAnsi="Arial"/>
          <w:sz w:val="22"/>
        </w:rPr>
        <w:t xml:space="preserve">: quantis 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seguem indivíduos, e a leitura em termos de pessoas exigiria invariância de posto,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se testa aqui. A RIF-OB, ao contrário, decompõe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 de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(Firpo; Fortin; Lemieux, 2018)</w:t>
      </w:r>
      <w:r>
        <w:rPr>
          <w:rFonts w:ascii="Arial" w:hAnsi="Arial"/>
          <w:sz w:val="22"/>
        </w:rPr>
        <w:t xml:space="preserve">: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é feito o gap no q10 da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país”</w:t>
      </w:r>
      <w:r>
        <w:rPr>
          <w:rFonts w:ascii="Arial" w:hAnsi="Arial"/>
          <w:sz w:val="22"/>
        </w:rPr>
        <w:t xml:space="preserve">. Como a composição observável concentra negros na base, a parcela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ali; e como há mais dispersão condicional no topo, o coeficiente 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com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. Os dois resultados são complementares — um é sobre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preço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pago a características, o outro sobre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distribuição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características.</w:t>
      </w:r>
    </w:p>
    <w:bookmarkStart w:id="64" w:name="tab:qr_melhorias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8. Regressão quantílica: coeficiente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e sexo.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 (%)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M3: controles individuais + contexto UPA + UF efeito fixo. População completa.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parênteses (coluna Global): erro-padrão por bootstrap em blocos por UPA.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quantis e grupos.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8. 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23"/>
        <w:gridCol w:w="1737"/>
        <w:gridCol w:w="1158"/>
        <w:gridCol w:w="772"/>
        <w:gridCol w:w="1158"/>
        <w:gridCol w:w="772"/>
        <w:gridCol w:w="1351"/>
      </w:tblGrid>
      <w:tr>
        <w:trPr>
          <w:tblHeader w:val="on"/>
        </w:trPr>
        <w:tc>
          <w:tcPr>
            <w:tcW w:type="dxa" w:w="2123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Global</w:t>
            </w:r>
          </w:p>
        </w:tc>
        <w:tc>
          <w:tcPr>
            <w:tcW w:type="dxa" w:w="1158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Homens</w:t>
            </w:r>
          </w:p>
        </w:tc>
        <w:tc>
          <w:tcPr>
            <w:tcW w:type="dxa" w:w="1351"/>
            <w:gridSpan w:val="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Mulheres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2-3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4-5</w:t>
            </w:r>
            <w:r>
              <w:rPr>
                <w:rFonts w:ascii="Arial" w:hAnsi="Arial"/>
                <w:b w:val="0"/>
                <w:sz w:val="22"/>
              </w:rPr>
              <w:t xml:space="preserve">(lr)</w:t>
            </w:r>
            <w:r>
              <w:rPr>
                <w:rFonts w:ascii="Arial" w:hAnsi="Arial"/>
                <w:b w:val="0"/>
                <w:sz w:val="22"/>
              </w:rPr>
              <w:t xml:space="preserve">6-7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(SE)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Gap (%)</w:t>
            </w:r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(0.0012)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(0.0013)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(0.0019)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>
            <w:tcW w:type="dxa" w:w="1737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>
            <w:tcW w:type="dxa" w:w="1158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>
            <w:tcW w:type="dxa" w:w="77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>
            <w:tcW w:type="dxa" w:w="135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>
            <w:tcW w:type="dxa" w:w="2123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bCs/>
                <w:sz w:val="22"/>
              </w:rPr>
              <w:t xml:space="preserve">Δ (q90−q10)</w:t>
            </w:r>
          </w:p>
        </w:tc>
        <w:tc>
          <w:tcPr>
            <w:tcW w:type="dxa" w:w="173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(0.0024)</w:t>
            </w:r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tcW w:type="dxa" w:w="772"/>
            <w:gridSpan w:val="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>
            <w:tcW w:type="dxa" w:w="135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</w:p>
        </w:tc>
      </w:tr>
    </w:tbl>
    <w:bookmarkEnd w:id="6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65" w:name="tab:rif_ob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9. Decomposição RIF-OB (Firpo, Fortin &amp; Lemieux, 2018)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quantil incondicional, em formato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two-fold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(referência: estrutura de preços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 brancos). Dotações: diferença de características observáveis (capital humano, ocupação,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contexto). Retornos: parcela não explicada (componente discriminatório). Dotações + 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cada quantil. Padrão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sticky floor</w:t>
      </w:r>
      <w:r>
        <w:rPr>
          <w:rFonts w:ascii="Arial" w:hAnsi="Arial"/>
          <w:sz w:val="22"/>
        </w:rPr>
        <w:t xml:space="preserve">: o componente de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(discriminação de mercado) é maior na base e decresce rumo ao topo. PNAD Contínua 2016–2025,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população completa. Entre 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9. 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89"/>
        <w:gridCol w:w="2564"/>
        <w:gridCol w:w="1972"/>
        <w:gridCol w:w="1972"/>
        <w:gridCol w:w="1775"/>
      </w:tblGrid>
      <w:tr>
        <w:trPr>
          <w:tblHeader w:val="on"/>
        </w:trPr>
        <w:tc>
          <w:tcPr>
            <w:tcW w:type="dxa" w:w="7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Quantil</w:t>
            </w:r>
          </w:p>
        </w:tc>
        <w:tc>
          <w:tcPr>
            <w:tcW w:type="dxa" w:w="256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obs. (SE)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97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177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q10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0,559 (0,007)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64,9 (0,8)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35,1 (0,7)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q25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0,310 (0,009)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68,8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31,2 (0,6)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q50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0,378 (0,008)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72,7 (0,9)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27,3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q75</w:t>
            </w:r>
          </w:p>
        </w:tc>
        <w:tc>
          <w:tcPr>
            <w:tcW w:type="dxa" w:w="2564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0,470 (0,010)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75,5 (1,1)</w:t>
            </w:r>
          </w:p>
        </w:tc>
        <w:tc>
          <w:tcPr>
            <w:tcW w:type="dxa" w:w="197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24,5 (0,4)</w:t>
            </w:r>
          </w:p>
        </w:tc>
        <w:tc>
          <w:tcPr>
            <w:tcW w:type="dxa" w:w="177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  <w:tr>
        <w:tc>
          <w:tcPr>
            <w:tcW w:type="dxa" w:w="7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q90</w:t>
            </w:r>
          </w:p>
        </w:tc>
        <w:tc>
          <w:tcPr>
            <w:tcW w:type="dxa" w:w="256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0,483 (0,011)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87,1 (1,9)</w:t>
            </w:r>
          </w:p>
        </w:tc>
        <w:tc>
          <w:tcPr>
            <w:tcW w:type="dxa" w:w="197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12,9 (0,9)</w:t>
            </w:r>
          </w:p>
        </w:tc>
        <w:tc>
          <w:tcPr>
            <w:tcW w:type="dxa" w:w="177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7.694.198</w:t>
            </w:r>
          </w:p>
        </w:tc>
      </w:tr>
    </w:tbl>
    <w:bookmarkEnd w:id="65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Figura Figura 6 põe os dois ângulos lado a lado.</w:t>
      </w:r>
    </w:p>
    <w:bookmarkStart w:id="69" w:name="fig:qr_rif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638038" cy="21631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6. Teto de vidro e piso pegajoso são o mesmo fenômeno visto de dois ângulos. À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esquerda, a penalidade em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cresce rumo ao topo (faixa: 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bootstrap em blocos de UPA); à direita, a parcela não explicada dos quantis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é maior na base.</w:t>
      </w:r>
    </w:p>
    <w:bookmarkEnd w:id="69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Figura 6: à esquerda, cada ponto é a penalidade racial estimada num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</w:t>
      </w:r>
      <w:r>
        <w:rPr>
          <w:rFonts w:ascii="Arial" w:hAnsi="Arial"/>
          <w:sz w:val="22"/>
        </w:rPr>
        <w:t xml:space="preserve"> </w:t>
      </w:r>
      <m:oMath>
        <m:r>
          <m:t>τ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(eixo vertical em log-pontos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rPr>
          <w:rFonts w:ascii="Arial" w:hAnsi="Arial"/>
          <w:sz w:val="22"/>
        </w:rPr>
        <w:t xml:space="preserve">), e a faixa é o intervalo de 95% por bootstrap em blocos de UPA. À direita, cada barra é um quantil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incondicional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GLMM logístico: o teto de vidro no acesso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modelo logístico multinível (</w:t>
      </w:r>
      <w:r>
        <w:rPr>
          <w:rStyle w:val="VerbatimChar"/>
          <w:rFonts w:ascii="Arial" w:hAnsi="Arial"/>
          <w:sz w:val="22"/>
        </w:rPr>
        <w:t xml:space="preserve">lme4::glmer</w:t>
      </w:r>
      <w:r>
        <w:rPr>
          <w:rFonts w:ascii="Arial" w:hAnsi="Arial"/>
          <w:sz w:val="22"/>
        </w:rPr>
        <w:t xml:space="preserve">, intercepto aleatório de UPA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efeitos fixos de UF, estimado por Laplace na população completa) modela a probabilidade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três desfechos — cargo qualificado (CBO 1–4), renda no top 20% e no top 10%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quatro degraus paralelos aos do HLM: M1 individual, M2 + contexto do bairro, M3 +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(formalidade, setor público, conta própria, doméstico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controls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logo limite inferior) e M4 +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credencial.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Tabela Tabela 10 traz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odds ratios</w:t>
      </w:r>
      <w:r>
        <w:rPr>
          <w:rFonts w:ascii="Arial" w:hAnsi="Arial"/>
          <w:sz w:val="22"/>
        </w:rPr>
        <w:t xml:space="preserve">, efeitos marginais, ICC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E-values; a Tabela Tabela 11, o ajuste e o desempenho de classificação.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acesso também é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“bairro”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M1, a correlação intraclasse latente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0,198 para o cargo qualificado e 0,350 para o top 10%: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20% e 35% da variância latente do acesso está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bairros. O teste de razão de verossimilhança do M2 contra o logit sem efeito aleatório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(LR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411.007 para o cargo; 337.418 para o top 10%, 1 g.l.,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mostra que o efeito aleatório de UPA é indispensável — o logit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pooled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trataria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independentes pessoas do mesmo mercado local.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porta é mais estreita para negros — e mais ainda no topo.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M2,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controlados escolaridade, sexo, idade, horas, estado e contexto do bairro, a chance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0,699 (IC 95%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0,696–0,702) da de um branco do mesmo bairro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30% menos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chance</w:t>
      </w:r>
      <w:r>
        <w:rPr>
          <w:rFonts w:ascii="Arial" w:hAnsi="Arial"/>
          <w:sz w:val="22"/>
        </w:rPr>
        <w:t xml:space="preserve">, ou 5,5 pontos percentuais de probabilidade. No top 20% da renda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OR é 0,688 e no top 10%, 0,654 (35% menos chance):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teto se aperta à medida que se sobe. Nota: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desvantagem; o AME traduz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OR em probabilidade e é a medida a reter (MHE, cap. 3).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Vínculo e credencial não desfazem a barreira.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Descontar o vínculo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empregatício (M3) muda pouco o OR do cargo qualificado (0,691) e do top 10%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(0,656): a barreira não é um artefato da informalidade. No M4, a interação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credencial é OR </w:t>
      </w:r>
      <m:oMath>
        <m:r>
          <m:rPr>
            <m:sty m:val="p"/>
          </m:rPr>
          <m:t>=</m:t>
        </m:r>
      </m:oMath>
      <w:r>
        <w:rPr>
          <w:rFonts w:ascii="Arial" w:hAnsi="Arial"/>
          <w:sz w:val="22"/>
        </w:rPr>
        <w:t xml:space="preserve"> 1,069 para o superior completo e 1,060 para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pós-graduação: o diploma atenua a penalidade sem eliminá-la, e o OR combinado do negro com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é 0,735 — a credencial não neutraliza a barreira de acesso. A Figura Figura 7 reúne as razões de chance dos três desfechos e dos modelos de cada um.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Ajuste e classificação.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M2 discrimina bem os desfechos: AUC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0,831 (com efeitos aleatórios) e 0,790 (só efeitos fixos) para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cargo qualificado;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(0,30) a sensibilidade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0,82 e a especificidade 0,68. O teste de Hosmer–Lemeshow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rejeita a calibração perfeita em todos os degraus — inevitável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(MHE, cap. 8) —, mas a estatística cai a cerca de metade quando se acrescenta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vínculo (M3), sinal de calibração melhor; entre M1 e M2 ela praticamente não muda. O logit com efeitos fixos de UF e erro-padrão agrupado por UPA (última coluna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Tabela Tabela 10) reproduz os OR do GLMM: a conclusão não depende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hipótese de efeitos aleatórios.</w:t>
      </w:r>
    </w:p>
    <w:bookmarkStart w:id="74" w:name="fig:glmm_or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5465445" cy="253615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7. A porta é mais estreita para trabalhadores negros — e estreita ainda mais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topo da renda. Razão de chances de acesso (negro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branco do mesmo bairro)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IC 95%, por desfecho e degrau; em azul, o modelo com contexto de bairro (M2).</w:t>
      </w:r>
    </w:p>
    <w:bookmarkEnd w:id="74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Figura 7: 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10. GLMM logístico (lme4::</w:t>
      </w:r>
      <w:r>
        <w:rPr>
          <w:rStyle w:val="VerbatimChar"/>
          <w:rFonts w:ascii="Arial" w:hAnsi="Arial"/>
          <w:sz w:val="22"/>
        </w:rPr>
        <w:t xml:space="preserve">glmer</w:t>
      </w:r>
      <w:r>
        <w:rPr>
          <w:rFonts w:ascii="Arial" w:hAnsi="Arial"/>
          <w:sz w:val="22"/>
        </w:rPr>
        <w:t xml:space="preserve">, intercepto aleatório de UPA e efeitos fixos de UF) — teto de vidro ocupacional 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Odds ratio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coeficiente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IC 95%, efeito marginal médio (AME: diferença média de probabilidade predita, em pontos percentuais), ICC da UPA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rPr>
          <w:rFonts w:ascii="Arial" w:hAnsi="Arial"/>
          <w:sz w:val="22"/>
        </w:rPr>
        <w:t xml:space="preserve">; 40.969 UPAs). M3 acrescenta o vínculo (formalidade, setor público, conta própria, doméstico), que é desfecho da própria discriminação: limite inferior. Todos os OR com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rPr>
          <w:rFonts w:ascii="Arial" w:hAnsi="Arial"/>
          <w:sz w:val="22"/>
        </w:rPr>
        <w:t xml:space="preserve">;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desta ordem, a inferência relevante está nos IC e nos E-values.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0. 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681"/>
        <w:gridCol w:w="2731"/>
        <w:gridCol w:w="2101"/>
        <w:gridCol w:w="525"/>
        <w:gridCol w:w="525"/>
        <w:gridCol w:w="491"/>
        <w:gridCol w:w="491"/>
        <w:gridCol w:w="525"/>
      </w:tblGrid>
      <w:tr>
        <w:trPr>
          <w:tblHeader w:val="on"/>
        </w:trPr>
        <w:tc>
          <w:tcPr>
            <w:tcW w:type="dxa" w:w="168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73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210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(IC 95%)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AME (p.p.)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</w:t>
            </w:r>
          </w:p>
        </w:tc>
        <w:tc>
          <w:tcPr>
            <w:tcW w:type="dxa" w:w="491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E-value (IC)</w:t>
            </w:r>
          </w:p>
        </w:tc>
        <w:tc>
          <w:tcPr>
            <w:tcW w:type="dxa" w:w="52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OR logit-FE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−5,68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0,198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0,555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0,699 [0,696; 0,702]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−5,49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0,159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0,691 [0,688; 0,694]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0,705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[0,684;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0,699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0,680 [0,677; 0,683]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−4,89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0,281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2,29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0,540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0,688 [0,685; 0,691]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−4,74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0,219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0,690 [0,687; 0,693]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2,24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0,691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0,689 [0,685; 0,692]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−4,43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0,227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2,26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2,25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0,694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0,643 [0,639; 0,647]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−3,10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0,350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2,49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2,46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0,457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0,654 [0,650; 0,659]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−2,97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2,43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2,41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2101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0,656 [0,651; 0,660]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2,42</w:t>
            </w:r>
          </w:p>
        </w:tc>
        <w:tc>
          <w:tcPr>
            <w:tcW w:type="dxa" w:w="491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2,40</w:t>
            </w:r>
          </w:p>
        </w:tc>
        <w:tc>
          <w:tcPr>
            <w:tcW w:type="dxa" w:w="52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0,656</w:t>
            </w:r>
          </w:p>
        </w:tc>
      </w:tr>
      <w:tr>
        <w:tc>
          <w:tcPr>
            <w:tcW w:type="dxa" w:w="168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73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210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0,661 [0,657; 0,666]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−2,80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0,265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2,39</w:t>
            </w:r>
          </w:p>
        </w:tc>
        <w:tc>
          <w:tcPr>
            <w:tcW w:type="dxa" w:w="491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2,37</w:t>
            </w:r>
          </w:p>
        </w:tc>
        <w:tc>
          <w:tcPr>
            <w:tcW w:type="dxa" w:w="52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0,664</w:t>
            </w:r>
          </w:p>
        </w:tc>
      </w:tr>
    </w:tbl>
    <w:bookmarkEnd w:id="75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 OR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= menor chance de acesso para trabalhadores negros do que para brancos de mesmo perfil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 do mesmo bairro</w:t>
      </w:r>
      <w:r>
        <w:rPr>
          <w:rFonts w:ascii="Arial" w:hAnsi="Arial"/>
          <w:sz w:val="22"/>
        </w:rPr>
        <w:t xml:space="preserve">; quanto mais perto de zero, maior a barreira. O E-value é a força mínima de associação (razão de risco) que um confundidor não observado precisaria ter com a raça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bookmarkStart w:id="76" w:name="tab:glmm_ajuste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11. GLMM logístico — ajuste e desempenho de classificação por degrau. LR vs. pooled: teste de razão de verossimilhança do M2 contra o logit sem efeito aleatório (fronteira,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ascii="Arial" w:hAnsi="Arial"/>
          <w:sz w:val="22"/>
        </w:rPr>
        <w:t xml:space="preserve">); AUC com efeitos aleatórios (ajuste na amostra) e só com efeitos fixos;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cutoff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Youden (maximiza sensibilidade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especificidade) com as taxas correspondentes; Hosmer–Lemeshow em 10 decis. Com</w:t>
      </w:r>
      <w:r>
        <w:rPr>
          <w:rFonts w:ascii="Arial" w:hAnsi="Arial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rPr>
          <w:rFonts w:ascii="Arial" w:hAnsi="Arial"/>
          <w:sz w:val="22"/>
        </w:rPr>
        <w:t xml:space="preserve"> milhões qualquer desvio de calibração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o</w:t>
      </w:r>
      <w:r>
        <w:rPr>
          <w:rFonts w:ascii="Arial" w:hAnsi="Arial"/>
          <w:sz w:val="22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 ser lido como magnitude relativa entre degraus, não como teste (MHE, cap. 8).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1. 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98"/>
        <w:gridCol w:w="2434"/>
        <w:gridCol w:w="842"/>
        <w:gridCol w:w="842"/>
        <w:gridCol w:w="655"/>
        <w:gridCol w:w="489"/>
        <w:gridCol w:w="489"/>
        <w:gridCol w:w="489"/>
        <w:gridCol w:w="842"/>
        <w:gridCol w:w="489"/>
      </w:tblGrid>
      <w:tr>
        <w:trPr>
          <w:tblHeader w:val="on"/>
        </w:trPr>
        <w:tc>
          <w:tcPr>
            <w:tcW w:type="dxa" w:w="1498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Desfecho</w:t>
            </w:r>
          </w:p>
        </w:tc>
        <w:tc>
          <w:tcPr>
            <w:tcW w:type="dxa" w:w="2434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Modelo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LL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AIC</w:t>
            </w:r>
          </w:p>
        </w:tc>
        <w:tc>
          <w:tcPr>
            <w:tcW w:type="dxa" w:w="655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LR vs. pooled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(RE)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AUC (FE)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Cutoff</w:t>
            </w:r>
          </w:p>
        </w:tc>
        <w:tc>
          <w:tcPr>
            <w:tcW w:type="dxa" w:w="84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Sens./Espec.</w:t>
            </w:r>
          </w:p>
        </w:tc>
        <w:tc>
          <w:tcPr>
            <w:tcW w:type="dxa" w:w="489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HL</w:t>
            </w:r>
            <w:r>
              <w:rPr>
                <w:rFonts w:ascii="Arial" w:hAnsi="Arial"/>
                <w:b w:val="0"/>
                <w:sz w:val="22"/>
              </w:rP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Cargo qualificado (CBO 1–4)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7.068.424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7.068.498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0,766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8.378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7.059.978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7.060.058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411.007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0,82/0,68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8.576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6.089.887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6.089.975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5.269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6.089.819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6.089.911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0,882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0,31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0,83/0,77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5.178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20%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6.104.884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6.104.958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0,770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4.038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6.094.129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6.094.209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469.691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0,844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0,798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0,78/0,74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4.070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5.779.565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5.779.653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0,22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0,79/0,76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1.584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5.779.560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5.779.652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0,862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0,821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0,23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0,78/0,77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1.597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Top 10% de renda</w:t>
            </w: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M1 individual + UF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3.713.826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3.713.900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0,788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4.049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M2 + contexto do bairro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3.702.360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3.702.440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337.418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0,878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0,830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0,10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0,82/0,77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3.949</w:t>
            </w:r>
          </w:p>
        </w:tc>
      </w:tr>
      <w:tr>
        <w:tc>
          <w:tcPr>
            <w:tcW w:type="dxa" w:w="1498"/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M3 + vínculo (limite inf.)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3.502.169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3.502.257</w:t>
            </w:r>
          </w:p>
        </w:tc>
        <w:tc>
          <w:tcPr>
            <w:tcW w:type="dxa" w:w="655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1.934</w:t>
            </w:r>
          </w:p>
        </w:tc>
      </w:tr>
      <w:tr>
        <w:tc>
          <w:tcPr>
            <w:tcW w:type="dxa" w:w="149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</w:p>
        </w:tc>
        <w:tc>
          <w:tcPr>
            <w:tcW w:type="dxa" w:w="2434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credencial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3.502.075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3.502.167</w:t>
            </w:r>
          </w:p>
        </w:tc>
        <w:tc>
          <w:tcPr>
            <w:tcW w:type="dxa" w:w="655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0,893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0,852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0,11</w:t>
            </w:r>
          </w:p>
        </w:tc>
        <w:tc>
          <w:tcPr>
            <w:tcW w:type="dxa" w:w="84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0,82/0,80</w:t>
            </w:r>
          </w:p>
        </w:tc>
        <w:tc>
          <w:tcPr>
            <w:tcW w:type="dxa" w:w="48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1.869</w:t>
            </w:r>
          </w:p>
        </w:tc>
      </w:tr>
    </w:tbl>
    <w:bookmarkEnd w:id="76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Tabela Tabela 12 decompõe o diferencial de cada grupo contra o homem branco.</w:t>
      </w:r>
    </w:p>
    <w:bookmarkEnd w:id="77"/>
    <w:bookmarkStart w:id="84" w:name="X1df7cc4eb0c7cc9fb7ddad12c1316189c49cc50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Interseccionalidade: raça e gênero no acesso e no topo</w:t>
      </w:r>
    </w:p>
    <w:bookmarkStart w:id="78" w:name="tab:interseccional"/>
    <w:p>
      <w:pPr>
        <w:pStyle w:val="Tabl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Tabela 12. Decomposição interseccional (raça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gênero) do gap de rendimento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 (grupo de referência). Dotações: parcela explicada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características observáveis; Retornos: parcela não explicada (discriminação).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extra: o quanto o gap da Mulher Negra excede a soma das penalidades de raça e de 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isoladas (efeito interseccional puro, Crenshaw, 1989). PNAD Contínua, população completa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grupo de referência — homens brancos — na última linha da nota). Entre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parênteses: erro-padrão por bootstrap em blocos por UPA.</w:t>
      </w:r>
    </w:p>
    <w:tbl>
      <w:tblPr>
        <w:tblStyle w:val="Table"/>
        <w:tblW w:type="auto" w:w="0"/>
        <w:tblLayout w:type="fixed"/>
        <w:tblLook w:firstRow="1" w:lastRow="0" w:firstColumn="0" w:lastColumn="0" w:noHBand="0" w:noVBand="0" w:val="0020"/>
        <w:tblCaption w:val="Tabela 12. 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12"/>
        <w:gridCol w:w="1512"/>
        <w:gridCol w:w="1396"/>
        <w:gridCol w:w="1396"/>
        <w:gridCol w:w="2210"/>
        <w:gridCol w:w="1047"/>
      </w:tblGrid>
      <w:tr>
        <w:trPr>
          <w:tblHeader w:val="on"/>
        </w:trPr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Grupo</w:t>
            </w:r>
          </w:p>
        </w:tc>
        <w:tc>
          <w:tcPr>
            <w:tcW w:type="dxa" w:w="1512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Gap vs HB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Dotações (%)</w:t>
            </w:r>
          </w:p>
        </w:tc>
        <w:tc>
          <w:tcPr>
            <w:tcW w:type="dxa" w:w="1396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Retornos (%)</w:t>
            </w:r>
          </w:p>
        </w:tc>
        <w:tc>
          <w:tcPr>
            <w:tcW w:type="dxa" w:w="2210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Arial" w:hAnsi="Arial"/>
                <w:b w:val="0"/>
                <w:sz w:val="22"/>
              </w:rPr>
              <w:t xml:space="preserve">Penal. extra (p.p.)</w:t>
            </w:r>
          </w:p>
        </w:tc>
        <w:tc>
          <w:tcPr>
            <w:tcW w:type="dxa" w:w="1047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N</m:t>
              </m:r>
            </m:oMath>
            <w:r>
              <w:rPr>
                <w:rFonts w:ascii="Arial" w:hAnsi="Arial"/>
                <w:b w:val="0"/>
                <w:sz w:val="22"/>
              </w:rPr>
              <w:t xml:space="preserve"> </w:t>
            </w:r>
            <w:r>
              <w:rPr>
                <w:rFonts w:ascii="Arial" w:hAnsi="Arial"/>
                <w:b w:val="0"/>
                <w:sz w:val="22"/>
              </w:rPr>
              <w:t xml:space="preserve">do grupo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Branca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19,7 (0,2)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−51,9 (1,0)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151,9 (1,0)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1.423.994</w:t>
            </w:r>
          </w:p>
        </w:tc>
      </w:tr>
      <w:tr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Homem Negro</w:t>
            </w:r>
          </w:p>
        </w:tc>
        <w:tc>
          <w:tcPr>
            <w:tcW w:type="dxa" w:w="1512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56,3 (0,6)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73,9 (0,4)</w:t>
            </w:r>
          </w:p>
        </w:tc>
        <w:tc>
          <w:tcPr>
            <w:tcW w:type="dxa" w:w="1396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26,1 (0,4)</w:t>
            </w:r>
          </w:p>
        </w:tc>
        <w:tc>
          <w:tcPr>
            <w:tcW w:type="dxa" w:w="2210"/>
          </w:tcPr>
          <w:p>
            <w:pPr>
              <w:pStyle w:val="Compact"/>
              <w:spacing w:line="240" w:lineRule="auto" w:after="0"/>
              <w:ind w:firstLine="0"/>
              <w:jc w:val="both"/>
            </w:pPr>
            <w:r>
              <w:rPr>
                <w:rFonts w:ascii="Arial" w:hAnsi="Arial"/>
                <w:b w:val="0"/>
                <w:sz w:val="22"/>
              </w:rPr>
              <w:t xml:space="preserve">—</w:t>
            </w:r>
          </w:p>
        </w:tc>
        <w:tc>
          <w:tcPr>
            <w:tcW w:type="dxa" w:w="1047"/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2.664.739</w:t>
            </w:r>
          </w:p>
        </w:tc>
      </w:tr>
      <w:tr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Arial" w:hAnsi="Arial"/>
                <w:b w:val="0"/>
                <w:sz w:val="22"/>
              </w:rPr>
              <w:t xml:space="preserve">Mulher Negra</w:t>
            </w:r>
          </w:p>
        </w:tc>
        <w:tc>
          <w:tcPr>
            <w:tcW w:type="dxa" w:w="1512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80,6 (0,6)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35,3 (0,4)</w:t>
            </w:r>
          </w:p>
        </w:tc>
        <w:tc>
          <w:tcPr>
            <w:tcW w:type="dxa" w:w="1396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64,7 (0,4)</w:t>
            </w:r>
          </w:p>
        </w:tc>
        <w:tc>
          <w:tcPr>
            <w:tcW w:type="dxa" w:w="221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4,6</w:t>
            </w:r>
          </w:p>
        </w:tc>
        <w:tc>
          <w:tcPr>
            <w:tcW w:type="dxa" w:w="1047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pPr>
              <w:pStyle w:val="Compact"/>
              <w:spacing w:line="240" w:lineRule="auto" w:after="0"/>
              <w:ind w:firstLine="0"/>
              <w:jc w:val="right"/>
            </w:pPr>
            <w:r>
              <w:rPr>
                <w:rFonts w:ascii="Arial" w:hAnsi="Arial"/>
                <w:b w:val="0"/>
                <w:sz w:val="22"/>
              </w:rPr>
              <w:t xml:space="preserve">1.769.943</w:t>
            </w:r>
          </w:p>
        </w:tc>
      </w:tr>
    </w:tbl>
    <w:bookmarkEnd w:id="78"/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“Gap vs HB”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a desvantagem de renda de cada grupo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vs.</w:t>
      </w:r>
      <w:r>
        <w:rPr>
          <w:rFonts w:ascii="Arial" w:hAnsi="Arial"/>
          <w:sz w:val="22"/>
        </w:rPr>
        <w:t xml:space="preserve"> o Homem Branco; Dotações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gap. A Mulher Negra tem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 gap e ainda uma penalidade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extra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se reduz à soma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negro”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mulher”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a marca da interseccionalidade. O sinal negativo das dotações da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Branca indica que suas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superam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do homem branco: todo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vem de retornos diferenciais. Grupo de referência: 1.835.522 homens brancos.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modelos anteriores tratam raça e gênero de forma aditiva. Uma leitura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interseccional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pergunta se a desvantagem de ser negra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é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soma das partes. Reespecificamos o GLMM de acesso com um fator de quatro grupos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Style w:val="VerbatimChar"/>
          <w:rFonts w:ascii="Arial" w:hAnsi="Arial"/>
          <w:sz w:val="22"/>
        </w:rPr>
        <w:t xml:space="preserve">grupo_rg</w:t>
      </w:r>
      <w:r>
        <w:rPr>
          <w:rFonts w:ascii="Arial" w:hAnsi="Arial"/>
          <w:sz w:val="22"/>
        </w:rPr>
        <w:t xml:space="preserve">: homem branco [referência], mulher branca, homem negro, mulher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negra) e a 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, em três desfechos: acesso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 qualificada (CBO 1–4), renda no top 20% e no top 10%. A Tabela Tabela 12 traz a decomposição de Oaxaca–Blinder dos quatro grupos contra o homem branco, e a Figura Figura 8, as razões de chance nos três desfechos.</w:t>
      </w:r>
    </w:p>
    <w:bookmarkStart w:id="83" w:name="fig:interseccional"/>
    <w:p>
      <w:pPr>
        <w:pStyle w:val="CaptionedFigure"/>
      </w:pPr>
      <w:r>
        <w:rPr>
          <w:rFonts w:ascii="Arial" w:hAnsi="Arial"/>
          <w:sz w:val="22"/>
        </w:rPr>
        <w:drawing>
          <wp:inline>
            <wp:extent cx="4717542" cy="3119503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240" w:lineRule="auto" w:before="240" w:after="40"/>
        <w:ind w:firstLine="0"/>
        <w:jc w:val="both"/>
      </w:pPr>
      <w:r>
        <w:rPr>
          <w:rFonts w:ascii="Arial" w:hAnsi="Arial"/>
          <w:sz w:val="22"/>
        </w:rPr>
        <w:t xml:space="preserve">Figura 8. 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homem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branco, em três desfechos. A mulher negra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alçada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 à categoria,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torna-se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topo da renda.</w:t>
      </w:r>
    </w:p>
    <w:bookmarkEnd w:id="83"/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Fonte: Resultados originais da pesquisa</w:t>
      </w:r>
    </w:p>
    <w:p>
      <w:pPr>
        <w:pStyle w:val="BodyText"/>
        <w:spacing w:line="240" w:lineRule="auto" w:before="40" w:after="240"/>
        <w:ind w:firstLine="0"/>
        <w:jc w:val="both"/>
      </w:pPr>
      <w:r>
        <w:rPr>
          <w:rFonts w:ascii="Arial" w:hAnsi="Arial"/>
          <w:sz w:val="22"/>
        </w:rPr>
        <w:t xml:space="preserve">Nota: como ler a Figura Figura 8: cada barra é um grupo raça</w:t>
      </w:r>
      <m:oMath>
        <m:r>
          <m:rPr>
            <m:sty m:val="p"/>
          </m:rPr>
          <m:t>×</m:t>
        </m:r>
      </m:oMath>
      <w:r>
        <w:rPr>
          <w:rFonts w:ascii="Arial" w:hAnsi="Arial"/>
          <w:sz w:val="22"/>
        </w:rPr>
        <w:t xml:space="preserve">gênero; a altura é o gap vs. o homem branco — a mulher negra acumula as duas penalidades.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resultado revela uma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inversão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(Figura Figura 8).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acesso à categoria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homem branco —, porque o efeito de gênero é positivo nesse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desfecho (profissões credenciadas feminizadas, em CBO 1–4); o grupo mais penalizado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homem 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topo da renda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porém, o quadro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inverte</w:t>
      </w:r>
      <w:r>
        <w:rPr>
          <w:rFonts w:ascii="Arial" w:hAnsi="Arial"/>
          <w:sz w:val="22"/>
        </w:rPr>
        <w:t xml:space="preserve">: a mulher negra passa a ser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mais excluída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decil superior, abaixo da mulher branca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rPr>
          <w:rFonts w:ascii="Arial" w:hAnsi="Arial"/>
          <w:sz w:val="22"/>
        </w:rP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rPr>
          <w:rFonts w:ascii="Arial" w:hAnsi="Arial"/>
          <w:sz w:val="22"/>
        </w:rPr>
        <w:t xml:space="preserve">).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interação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  <w:rFonts w:ascii="Arial" w:hAnsi="Arial"/>
          <w:sz w:val="22"/>
        </w:rPr>
        <w:t xml:space="preserve">sexo_fem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sub-aditiva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todos os desfechos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acesso;</w:t>
      </w:r>
      <w:r>
        <w:rPr>
          <w:rFonts w:ascii="Arial" w:hAnsi="Arial"/>
          <w:sz w:val="22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top 10%):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penalidade racial é ligeiramente menor entre mulheres, mas isso não impede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mulher negra acumule a barreira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teto de vidro de gênero exatamente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onde mais importa para a ascensão — o topo da distribuição.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Esse achado refina a tese central: o teto de vidro não é racial nem sexualmente neutro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recai com força máxima sobre a mulher negra, que pode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ocupações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qualificadas, mas é sistematicamente barrada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chegar ao topo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remuneração.</w:t>
      </w:r>
    </w:p>
    <w:bookmarkEnd w:id="84"/>
    <w:bookmarkStart w:id="86" w:name="subsec:vif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Multicolinearidade do Modelo M4: Análise VIF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Para verificar se a inclusão simultânea dos 9 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CBO e das variáveis de vínculo empregatício (</w:t>
      </w:r>
      <w:r>
        <w:rPr>
          <w:rStyle w:val="VerbatimChar"/>
          <w:rFonts w:ascii="Arial" w:hAnsi="Arial"/>
          <w:sz w:val="22"/>
        </w:rPr>
        <w:t xml:space="preserve">emprego_formal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conta_propria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trab_domestico</w:t>
      </w:r>
      <w:r>
        <w:rPr>
          <w:rFonts w:ascii="Arial" w:hAnsi="Arial"/>
          <w:sz w:val="22"/>
        </w:rPr>
        <w:t xml:space="preserve">) introduz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problemática no Modelo M4, calculou-se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Variance Inflation Factor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sobre subsample de 200.000 observações da PEA com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Dos</w:t>
      </w:r>
      <w:r>
        <w:rPr>
          <w:rFonts w:ascii="Arial" w:hAnsi="Arial"/>
          <w:sz w:val="22"/>
        </w:rPr>
        <w:t xml:space="preserve"> </w:t>
      </w:r>
      <m:oMath>
        <m:r>
          <m:t>24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(Educ.: não registrada); 2 variável crítica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rPr>
          <w:rFonts w:ascii="Arial" w:hAnsi="Arial"/>
          <w:sz w:val="22"/>
        </w:rPr>
        <w:t xml:space="preserve">); 1 variável alta (</w:t>
      </w:r>
      <m:oMath>
        <m:r>
          <m:t>5</m:t>
        </m:r>
      </m:oMath>
      <w:r>
        <w:rPr>
          <w:rFonts w:ascii="Arial" w:hAnsi="Arial"/>
          <w:sz w:val="22"/>
        </w:rPr>
        <w:t xml:space="preserve">–</w:t>
      </w:r>
      <m:oMath>
        <m:r>
          <m:t>10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 variável moderada (</w:t>
      </w:r>
      <m:oMath>
        <m:r>
          <m:t>2</m:t>
        </m:r>
      </m:oMath>
      <w:r>
        <w:rPr>
          <w:rFonts w:ascii="Arial" w:hAnsi="Arial"/>
          <w:sz w:val="22"/>
        </w:rPr>
        <w:t xml:space="preserve">–</w:t>
      </w:r>
      <m:oMath>
        <m:r>
          <m:t>5</m:t>
        </m:r>
      </m:oMath>
      <w:r>
        <w:rPr>
          <w:rFonts w:ascii="Arial" w:hAnsi="Arial"/>
          <w:sz w:val="22"/>
        </w:rPr>
        <w:t xml:space="preserve">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dois VIF acima de 10 são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(22,25) 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educ_superior_completo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(19,45) — colinearidade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construção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dentro do bloco educacional, já que o indicador de escolaridade não registrada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quase o complemento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(Fávero &amp; Belfiore,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cap. 12). Ela infla o erro-padrão dos retornos educacionais, que por isso são lidos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cautela, 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não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contamina o coeficiente de interesse: o VIF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1,37 e o das variáveis de contexto da UPA fica abaixo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1,8.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CBO e as variáveis de vínculo —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colinearidade que se temia no M4 — o VIF máximo é 2,09. A especificação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M4 dispensa, portanto, ortogonalização ou eliminação de preditores; o que ela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dispensa é a ressalva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bad control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(Modelos Hierárquicos Lineares — Mediação Contextual do Gap).</w:t>
      </w:r>
    </w:p>
    <w:p>
      <w:pPr>
        <w:pStyle w:val="BodyText"/>
      </w:pPr>
      <w:bookmarkStart w:id="85" w:name="sec:discussao"/>
      <w:bookmarkEnd w:id="85"/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Nota terminológica.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Três conceitos próximos, mas distintos, percorrem este trabalho e não devem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confundidos.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Mediação contextual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(HLM) é a fração do gap bruto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desaparece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ao se controlar o local de moradia (UPA/UF) — mede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quanto da penalidade racial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território.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dotação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(Oaxaca–Blinder) é a parcela do gap atribuível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nas características observáveis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brancos 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(escolaridade, ocupação, contexto), por oposição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efeito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(preços diferenciais pagos às mesmas características).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líquido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diferencial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persiste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após o controle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 humano e contexto (M3): 10,2%.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Gap residual pós-ocupação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resta ao se controlar também ocupação e formalidade (M4): 7,0% — um limite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inferior, pois a ocupação é ela própria resultado da barreira de acesso. Em suma: a mediação contextual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“por onde passa o gap”</w:t>
      </w:r>
      <w:r>
        <w:rPr>
          <w:rFonts w:ascii="Arial" w:hAnsi="Arial"/>
          <w:sz w:val="22"/>
        </w:rPr>
        <w:t xml:space="preserve">; a decomposição de dotações,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“de que ele é feito”</w:t>
      </w:r>
      <w:r>
        <w:rPr>
          <w:rFonts w:ascii="Arial" w:hAnsi="Arial"/>
          <w:sz w:val="22"/>
        </w:rPr>
        <w:t xml:space="preserve">; e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gap líquido,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“o que sobra sem explicação”</w:t>
      </w:r>
      <w:r>
        <w:rPr>
          <w:rFonts w:ascii="Arial" w:hAnsi="Arial"/>
          <w:sz w:val="22"/>
        </w:rPr>
        <w:t xml:space="preserve">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Da diagnose às políticas.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diagnóstico das duas barreiras revela gargalos simultâneos — exclusão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 às ocupações qualificadas e penalidade salarial que persiste dentro delas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que se reforçam mutuamente. A consequência para o desenho de políticas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direta: nenhuma intervenção unidimensional (só cotas de acesso, só fiscalização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salarial, só escolaridade) atinge as duas barreiras ao mesmo tempo; a magnitude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relativa de cada uma, estimada aqui, é o insumo para priorizá-las.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O que este trabalho acrescenta ao debate.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identificou a discriminação racial como estrutural,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sem poder quantificar mecanismos em escala nacional.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Henriques (2001)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documentou o gap educacional racial, mas não separou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efeito educacional do de redes e contexto.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Soares (2009)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estimou, com dados de 2006, que cerca de 50% do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salarial seria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“inexplicado”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interpretado como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Este trabalho, com dados de 2016–2025 e metodologias não disponíveis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Soares, decompõe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caixa preta</w:t>
      </w:r>
      <w:r>
        <w:rPr>
          <w:rFonts w:ascii="Arial" w:hAnsi="Arial"/>
          <w:sz w:val="22"/>
        </w:rPr>
        <w:t xml:space="preserve">. Na especificação comparável à dele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(capital humano e contexto, sem ocupação), 28,4% do gap bruto são 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limite inferior da discriminação direta — e 71,6%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diferenças de dotações; quando a ocupação é tratada como dotação, o não explicado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cai para 16,2%, e 83,8% passam a ser dotações — mas essas dotações são, elas mesmas,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produto da barreira de acesso às ocupações qualificadas (GLMM), que este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trabalho quantifica em conjunto com a penalidade salarial.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contribuição central não é mostrar que o gap existe — isso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literatura já sabia desde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Hasenbalg (1979)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mas demonstrar que ele é sustentado por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sistema combinado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que discriminação de acesso,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penalidade salarial se reforçam mutuamente, tornando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políticas focadas em um único mecanismo.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Diálogo com o quadro macro recente do 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convergem com o retrato macroestrutural mais recente. A melhora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multidimensional captada pela POF não eliminou o gap racial de qualidade de vida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183 para chefes pretos/pardos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vs.</w:t>
      </w:r>
      <w:r>
        <w:rPr>
          <w:rFonts w:ascii="Arial" w:hAnsi="Arial"/>
          <w:sz w:val="22"/>
        </w:rPr>
        <w:t xml:space="preserve"> 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122 para brancos), e a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voltou a concentrar-se no topo em 2025 (Gini do rendimento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491) </w:t>
      </w:r>
      <w:r>
        <w:rPr>
          <w:rFonts w:ascii="Arial" w:hAnsi="Arial"/>
          <w:sz w:val="22"/>
        </w:rPr>
        <w:t xml:space="preserve">(IBGE, 2019, 2025)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Cabe uma ressalva metodológica: o Gini estimado neste trabalho refere-se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rendimento do trabalho entre ocupados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(em torno de 0</w:t>
      </w:r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48), conceito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distinto do Gini domiciliar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todas as fontes do IBGE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próximos, mas medidas diferentes que podem divergir em tendência, pois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alta de 2025 é puxada por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</w:t>
      </w:r>
      <w:r>
        <w:rPr>
          <w:rFonts w:ascii="Arial" w:hAnsi="Arial"/>
          <w:sz w:val="22"/>
        </w:rPr>
        <w:t xml:space="preserve">-trabalho do topo, que não transita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rendimento dos ocupados. Nesse mesmo conceito, a desigualdade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rPr>
          <w:rFonts w:ascii="Arial" w:hAnsi="Arial"/>
          <w:sz w:val="22"/>
        </w:rPr>
        <w:t xml:space="preserve">) do que entre negros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rPr>
          <w:rFonts w:ascii="Arial" w:hAnsi="Arial"/>
          <w:sz w:val="22"/>
        </w:rPr>
        <w:t xml:space="preserve">) — não por equidade, mas por confinamento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negros ao piso da distribuição, o reverso distribucional do teto de vidro.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contraste territorial reforça a tese: o Distrito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Federal, de maior renda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 capita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país, é também a UF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penalidade racial salarial em nossos modelos regionais — riqueza média elevada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desigualdade racial aguda coexistem no mesmo território.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Triangulação com o Índice de Progresso Social (IPS).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municipal (Imazon e parceiros, 2026) — que avalia a qualidade de vida 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5.570 municípios brasileiros a partir de 57 indicadores sociais e ambientais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corroboração externa e multidimensional do eixo territorial desta tese.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Uma integração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nosso proxy de bairro (UPA) é, contudo,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inviável: o painel público da PNAD não divulga o município (apenas UF e a situação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capital/RM/interior), e o IPS é municipal — portanto mais agregado que a UPA,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sub-municipal. O IPS, assim, não valida o achado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(situa-se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acima dele na escala), mas ecoa o gradiente macro: as regiões de menor progresso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social (Norte e Nordeste) coincidem com as de maior penalidade racial em nossos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modelos. Empregamo-lo, portanto, como evidência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convergente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caráter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territorial da desigualdade — não como fonte de dados integrada, e ressalvando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IPS mede progresso social geral, não desigualdade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 segregação residencial como multiplicador da desigualdade.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achado mais robusto desta análise é que 47,0% do gap salarial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é mediado pelo bairro de moradia — muito além do que modelos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cross-sectionais típicos, que ignoram a estrutura aninhada dos dados,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seriam capazes de estimar. O coeficiente contextual</w:t>
      </w:r>
      <w:r>
        <w:rPr>
          <w:rFonts w:ascii="Arial" w:hAnsi="Arial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desvio-padrão da proporção de negros na UPA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indica que a penalidade de viver em bairro segregado é da mesma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grandeza da própria penalidade individual de ser negro — e que 36,9%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variância do rendimento está entre bairros, não entre pessoas.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Isso sugere que políticas de redistribuição de renda que não enfrentem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segregação residencial terão eficácia limitada sobre o gap racial.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Subvalorização do capital humano negro.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decomposição de Oaxaca–Blinder atribui 28,4% do gap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diferenciais — as mesmas características de capital humano e contexto rendem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a trabalhadores negros — e ainda 16,2% quando a própria posição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ocupacional é descontada; a decomposição RIF mostra que essa parcela chega a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base da distribuição. O GLMM acrescenta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credencial educacional não neutraliza a barreira de acesso (OR de</w:t>
      </w:r>
      <w:r>
        <w:rPr>
          <w:rFonts w:ascii="Arial" w:hAnsi="Arial"/>
          <w:sz w:val="22"/>
        </w:rPr>
        <w:t xml:space="preserve"> </w:t>
      </w:r>
      <w:r>
        <w:rPr>
          <w:rStyle w:val="VerbatimChar"/>
          <w:rFonts w:ascii="Arial" w:hAnsi="Arial"/>
          <w:sz w:val="22"/>
        </w:rPr>
        <w:t xml:space="preserve">negro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próximo de 0,7 mesmo entre os mais escolarizados). Juntas, essas evidências indicam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duplo obstáculo ao retorno educacional: além da penalidade direta mensurada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pelo HLM, o acesso desigual às ocupações que convertem credenciais em renda.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Granovetter (1973)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oferece o mecanismo plausível — redes de indicação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que não cruzam fronteiras sociais —, hipótese que este trabalho não testa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e que fica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Persistência da discriminação direta.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de 10,2%, estimado após controlar por todos os vetores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transmissão contextual, representa um piso para a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explicada por diferenças observáveis. Os valores SHAP reforçam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lugar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importância preditiva do XGBoost mesmo quando o modelo tem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 às variáveis educacionais, demográficas e contextuais.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evidência é consistente com os experimentos de auditoria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Pager (2007)</w:t>
      </w:r>
      <w:r>
        <w:rPr>
          <w:rFonts w:ascii="Arial" w:hAnsi="Arial"/>
          <w:sz w:val="22"/>
        </w:rPr>
        <w:t xml:space="preserve">, que demonstram experimentalmente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racial em processos seletivos.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Lenta convergência racial.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redução de apenas 2,4%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gap em dez anos — equivalente a 0,001 ponto de log-rendimento por ano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rPr>
          <w:rFonts w:ascii="Arial" w:hAnsi="Arial"/>
          <w:sz w:val="22"/>
        </w:rPr>
        <w:t xml:space="preserve">,</w:t>
      </w:r>
      <w:r>
        <w:rPr>
          <w:rFonts w:ascii="Arial" w:hAnsi="Arial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rPr>
          <w:rFonts w:ascii="Arial" w:hAnsi="Arial"/>
          <w:sz w:val="22"/>
        </w:rPr>
        <w:t xml:space="preserve">, WLS 2016–2025)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— sugere que, ao ritmo atual, a convergência racial levaria mais de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século para eliminar o diferencial observado em 2016.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Essa constatação não trivializa avanços recentes em políticas de cotas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acesso ao ensino superior, mas evidencia que reformas no campo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educação, sem intervenção simultânea nos mecanismos de segregação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residencial e de acesso às redes profissionais, são insuficientes.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Ancoragem em políticas públicas existentes.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barreiras estimadas não são abstrações: cada uma corresponde a um instrumento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jurídico-institucional já existente no Brasil, cuja intensificação ou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aperfeiçoamento os resultados sugerem.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barreira de acesso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para CBO 1–4 no modelo 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contexto) dialoga diretamente com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12.990/2014</w:t>
      </w:r>
      <w:r>
        <w:rPr>
          <w:rFonts w:ascii="Arial" w:hAnsi="Arial"/>
          <w:sz w:val="22"/>
        </w:rPr>
        <w:t xml:space="preserve">, que reserva 20% 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vagas em concursos públicos federais a candidatos negros, e cujo escopo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diagnóstico sugere ampliar para níveis hierárquicos superiores — onde o teto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rPr>
          <w:rFonts w:ascii="Arial" w:hAnsi="Arial"/>
          <w:sz w:val="22"/>
        </w:rPr>
        <w:t xml:space="preserve">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qualificação e o acesso ao ensino superior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correspondem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Prouni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Fies</w:t>
      </w:r>
      <w:r>
        <w:rPr>
          <w:rFonts w:ascii="Arial" w:hAnsi="Arial"/>
          <w:sz w:val="22"/>
        </w:rPr>
        <w:t xml:space="preserve">, bem como ao legado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PRONATEC</w:t>
      </w:r>
      <w:r>
        <w:rPr>
          <w:rFonts w:ascii="Arial" w:hAnsi="Arial"/>
          <w:sz w:val="22"/>
        </w:rPr>
        <w:t xml:space="preserve">;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achado de que as mesmas credenciais rendem menos a trabalhadores negros (efeito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retornos da decomposição de Oaxaca–Blinder) indica que tais programas precisam ser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combinados a mecanismos de inserção ocupacional, sob pena de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combate à discriminação direta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encontra base na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 9.029/1995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(que proíbe práticas discriminatórias na relação de trabalho) e no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Estatuto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Igualdade Racial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Lei 12.288/2010</w:t>
      </w:r>
      <w:r>
        <w:rPr>
          <w:rFonts w:ascii="Arial" w:hAnsi="Arial"/>
          <w:sz w:val="22"/>
        </w:rPr>
        <w:t xml:space="preserve">), cuja fiscalização o gap líquido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10,2% — e a penalidade de 7,0% que persiste dentro da mesma ocupação —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justifica reforçar.</w:t>
      </w:r>
    </w:p>
    <w:bookmarkEnd w:id="86"/>
    <w:bookmarkStart w:id="87" w:name="limitações-e-escopo-de-validade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Limitações e escopo de validade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Natureza inferencial</w:t>
      </w:r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vs.</w:t>
      </w:r>
      <w:r>
        <w:rPr>
          <w:rFonts w:ascii="Arial" w:hAnsi="Arial"/>
          <w:b/>
          <w:bCs/>
          <w:sz w:val="22"/>
        </w:rPr>
        <w:t xml:space="preserve"> preditiva dos modelos.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resultados devem ser lidos sob dois regimes epistemológicos distintos.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Os modelos HLM, a decomposição de Oaxaca–Blinder, a regressão quantílica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modelo logístico de acesso produzem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estimativas de associação condicional</w:t>
      </w:r>
      <w:r>
        <w:rPr>
          <w:rFonts w:ascii="Arial" w:hAnsi="Arial"/>
          <w:sz w:val="22"/>
        </w:rPr>
        <w:t xml:space="preserve">: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medem o diferencial racial que persiste após o controle de covariáveis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observáveis, sob o pressuposto de seleção em observáveis. Não constituem, por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 sós, prova de causalidade no sentido contrafactual, pois não derivam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desenho experimental ou quase-experimental. Já o XGBoost e os valores SHAP têm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finalidade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preditiva e interpretativa</w:t>
      </w:r>
      <w:r>
        <w:rPr>
          <w:rFonts w:ascii="Arial" w:hAnsi="Arial"/>
          <w:sz w:val="22"/>
        </w:rPr>
        <w:t xml:space="preserve">: quantificam a contribuição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cada variável para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previsão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do rendimento — não o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manipulá-la. A convergência entre os dois regimes (a raça permanece preditora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primeira ordem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mantém coeficiente negativo significante sob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controle exaustivo) é o que confere robustez ao diagnóstico; ainda assim,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linguagem causal foi deliberadamente evitada.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Cobertura da variável de escolaridade.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escolaridade detalhada (</w:t>
      </w:r>
      <w:r>
        <w:rPr>
          <w:rStyle w:val="VerbatimChar"/>
          <w:rFonts w:ascii="Arial" w:hAnsi="Arial"/>
          <w:sz w:val="22"/>
        </w:rPr>
        <w:t xml:space="preserve">educ_cat</w:t>
      </w:r>
      <w:r>
        <w:rPr>
          <w:rFonts w:ascii="Arial" w:hAnsi="Arial"/>
          <w:sz w:val="22"/>
        </w:rPr>
        <w:t xml:space="preserve">) está registrada para cerca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31% da PEA no painel público utilizado. Para preservar o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completo,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níveis de instrução entram como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dummies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conclusão acompanhadas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um indicador explícito de não-registro (</w:t>
      </w:r>
      <w:r>
        <w:rPr>
          <w:rStyle w:val="VerbatimChar"/>
          <w:rFonts w:ascii="Arial" w:hAnsi="Arial"/>
          <w:sz w:val="22"/>
        </w:rPr>
        <w:t xml:space="preserve">educ_missing</w:t>
      </w:r>
      <w:r>
        <w:rPr>
          <w:rFonts w:ascii="Arial" w:hAnsi="Arial"/>
          <w:sz w:val="22"/>
        </w:rPr>
        <w:t xml:space="preserve">), de modo que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categoria de referência não confunda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“baixa escolaridade”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“dado ausente”</w:t>
      </w:r>
      <w:r>
        <w:rPr>
          <w:rFonts w:ascii="Arial" w:hAnsi="Arial"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Testes de sensibilidade mostram que o coeficiente racial é estável a 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especificação (variação inferior a 1%); ainda assim, os retornos educacionais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devem ser interpretados com a cautela própria de uma variável parcialmente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Condicionar em quem tem renda positiva.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de rendimento são estimados entre ocupados com renda positiva. Isso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condicionar no desfecho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3): se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também reduz a probabilidade de estar ocupado, o gap salarial condicional mistura 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efeito sobre o salário com a seleção de quem permanece na amostra. A direção provável 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viés é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subestimação</w:t>
      </w:r>
      <w:r>
        <w:rPr>
          <w:rFonts w:ascii="Arial" w:hAnsi="Arial"/>
          <w:sz w:val="22"/>
        </w:rPr>
        <w:t xml:space="preserve">: se os trabalhadores negros que conseguem se manter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ocupados são positivamente selecionados em atributos não observados, o gap entre 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observados é menor que o gap potencial na população. O modelo logístico de acesso trata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diretamente a outra metade do problema — a probabilidade de chegar à ocupação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qualificada — e a correção de Heckman, estimada na versão estendida deste trabalho,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significativo), com o coeficiente racial estável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em sinal e ordem de grandeza. A leitura correta é, portanto: o gap líquido aqui reportado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é o gap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entre ocupados</w:t>
      </w:r>
      <w:r>
        <w:rPr>
          <w:rFonts w:ascii="Arial" w:hAnsi="Arial"/>
          <w:sz w:val="22"/>
        </w:rPr>
        <w:t xml:space="preserve">, não o gap potencial de toda a população em idade ativa.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As hipóteses, uma a uma, e o que acontece se falharem.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Seguindo a recomendação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“ser o próprio cético”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(</w:t>
      </w:r>
      <w:r>
        <w:rPr>
          <w:rFonts w:ascii="Arial" w:hAnsi="Arial"/>
          <w:sz w:val="22"/>
        </w:rPr>
        <w:t xml:space="preserve">Angrist; Pischke (2009)</w:t>
      </w:r>
      <w:r>
        <w:rPr>
          <w:rFonts w:ascii="Arial" w:hAnsi="Arial"/>
          <w:sz w:val="22"/>
        </w:rPr>
        <w:t xml:space="preserve">, cap. 8):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Seleção em observáveis (CIA).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gap líquido só é o efeito do tratamento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diferencial se, condicional a</w:t>
      </w:r>
      <w:r>
        <w:rPr>
          <w:rFonts w:ascii="Arial" w:hAnsi="Arial"/>
          <w:sz w:val="22"/>
        </w:rPr>
        <w:t xml:space="preserve"> </w:t>
      </w:r>
      <m:oMath>
        <m:r>
          <m:t>X</m:t>
        </m:r>
      </m:oMath>
      <w:r>
        <w:rPr>
          <w:rFonts w:ascii="Arial" w:hAnsi="Arial"/>
          <w:sz w:val="22"/>
        </w:rPr>
        <w:t xml:space="preserve">, a raça for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“como se”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aleatória. Não é: qualidade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da escola, habilidade não medida e redes ficam fora. Se esses omitidos correlacionam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negativamente com ser negro e positivamente com renda, o coeficiente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superestima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discriminação — por isso o gap líquido é apresentado como limite superior dessa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leitura, e o Konfound/E-value quantificam quanto de confundimento seria preciso.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Bad controls</w:t>
      </w:r>
      <w:r>
        <w:rPr>
          <w:rFonts w:ascii="Arial" w:hAnsi="Arial"/>
          <w:b/>
          <w:bCs/>
          <w:sz w:val="22"/>
        </w:rPr>
        <w:t xml:space="preserve">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Ocupação, formalidade e horas são desfechos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própria discriminação. Com eles (M4, Oaxaca-Blinder de acesso) o resultado é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limite inferior descritivo</w:t>
      </w:r>
      <w:r>
        <w:rPr>
          <w:rFonts w:ascii="Arial" w:hAnsi="Arial"/>
          <w:sz w:val="22"/>
        </w:rPr>
        <w:t xml:space="preserve">: a parcela que opera pela porta de entrada some 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conta. Sem eles (M3, especificação (A) da Oaxaca-Blinder) tem-se o gap total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Reflexo (Manski).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renda média do bairro inclui o próprio indivíduo; usada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como preditor, é mecanicamente informativa. Nos modelos de acesso ela foi removida e,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XGBoost, substituída pela média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leave-one-out</w:t>
      </w:r>
      <w:r>
        <w:rPr>
          <w:rFonts w:ascii="Arial" w:hAnsi="Arial"/>
          <w:sz w:val="22"/>
        </w:rPr>
        <w:t xml:space="preserve">; ainda assim, choques comuns ao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 impedem leitura causal do coeficiente contextual.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Efeitos aleatórios.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HLM e o GLMM supõem que o efeito de bairro não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correlacionado com os regressores. Como contraprova, todos os coeficientes foram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reestimados com efeitos fixos de UF e erro-padrão agrupado por UPA, com as mesmas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conclusões (Inferência: erros-padrão agrupados, poucos clusters e pesos).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Pesos e desenho amostral.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As estimativas são não ponderadas: descrevem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regressão na amostra. A robustez ponderada pelo peso da PNAD muda o gap em menos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meio ponto percentual.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Correlação intragrupo.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Ignorá-la subestimaria os erros-padrão (Moulton);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todos os modelos reportam erro-padrão agrupado por UPA ou o modelam por efeito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aleatório, e o agrupamento por UF usa</w:t>
      </w:r>
      <w:r>
        <w:rPr>
          <w:rFonts w:ascii="Arial" w:hAnsi="Arial"/>
          <w:sz w:val="22"/>
        </w:rPr>
        <w:t xml:space="preserve"> </w:t>
      </w:r>
      <m:oMath>
        <m:r>
          <m:t>t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</w:t>
      </w:r>
      <w:r>
        <w:rPr>
          <w:rFonts w:ascii="Arial" w:hAnsi="Arial"/>
          <w:sz w:val="22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graus de liberdade.</w:t>
      </w:r>
    </w:p>
    <w:p>
      <w:pPr>
        <w:numPr>
          <w:ilvl w:val="0"/>
          <w:numId w:val="1001"/>
        </w:numPr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Significância com</w:t>
      </w:r>
      <w:r>
        <w:rPr>
          <w:rFonts w:ascii="Arial" w:hAnsi="Arial"/>
          <w:b/>
          <w:bCs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b/>
          <w:bCs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grande.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7,7 milhões de observações, quase tudo é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“significativo”</w:t>
      </w:r>
      <w:r>
        <w:rPr>
          <w:rFonts w:ascii="Arial" w:hAnsi="Arial"/>
          <w:sz w:val="22"/>
        </w:rPr>
        <w:t xml:space="preserve">; a leitura privilegia magnitude, intervalos de confiança e E-values,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não asteriscos.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Desenho transversal e direções futuras.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 caráter transversal do painel público impede a análise de trajetórias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individuais; o painel rotativo completo com microdado identificado e a extensão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à RAIS permitiriam investigar mobilidade e o teto de vidro em cargos de liderança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identificação de firma. A análise de redes de co-residência, a tipologia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agrupamento e a priorização de políticas por pesquisa operacional,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desenvolvidas em versão estendida deste trabalho, ficam como agenda.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b/>
          <w:bCs/>
          <w:sz w:val="22"/>
        </w:rPr>
        <w:t xml:space="preserve">Declaração de uso de inteligência artificial.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7"/>
    <w:bookmarkStart w:id="88" w:name="X6e5363a2ea64c40705be1be4ad3b57716cacb0d"/>
    <w:p>
      <w:pPr>
        <w:pStyle w:val="Ttulo2"/>
        <w:spacing w:line="240" w:lineRule="auto" w:before="240" w:after="120"/>
        <w:ind w:firstLine="0"/>
        <w:jc w:val="left"/>
      </w:pPr>
      <w:r>
        <w:rPr>
          <w:rFonts w:ascii="Arial" w:hAnsi="Arial"/>
          <w:sz w:val="22"/>
        </w:rPr>
        <w:t xml:space="preserve">Declaração de uso de inteligência artificial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Na elaboração deste trabalho foram utilizadas ferramentas de inteligência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artificial (Claude Code, da Anthropic) como apoio à implementação e depuração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código (Python e R), à geração de figuras e tabelas e à formatação dos documentos.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 concepção da pesquisa, a escolha das metodologias, a interpretação dos resultados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e a redação final são de responsabilidade do autor, que revisou, validou e responde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por todo o conteúdo.</w:t>
      </w:r>
    </w:p>
    <w:bookmarkEnd w:id="88"/>
    <w:bookmarkEnd w:id="89"/>
    <w:bookmarkStart w:id="121" w:name="conclusão"/>
    <w:p>
      <w:pPr>
        <w:pStyle w:val="Heading1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Conclusão</w:t>
      </w:r>
    </w:p>
    <w:p>
      <w:pPr>
        <w:pStyle w:val="FirstParagraph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 desigualdade racial no mercado de trabalho brasileiro não se reduziu a um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desconto salarial isolado: operou como um sistema de barreiras em camadas, que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começou antes do primeiro salário e persistiu ao longo da trajetória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profissional. Comparados trabalhadores de mesma escolaridade, idade, sexo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bairro, o diferencial de rendimento foi de 10,2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lida como limite inferior, já que a própria ocupação é resultado da barreira 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acesso.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achado mais relevante para o debate de políticas foi o da barreira de entrada.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Com o mesmo perfil observável e no mesmo bairro, trabalhadores negros tiveram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cerca de 30% menos chance de ocupar cargo qualificado e 35%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menos chance de alcançar o décimo superior da renda. Aumentar a escolaridade sem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intervir nos mecanismos de seleção e promoção produz, portanto, retorno marginal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decrescente: as credenciais existem, mas os canais que as convertem em mobilidade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permanecem estreitos.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 contexto de moradia respondeu por 47,0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agregado, o que indica que política de renda que ignore o território tem eficácia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limitada. A desvantagem da mulher negra excedeu em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4,6 pontos percentuais a soma das penalidades de raça e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 gênero isoladas, de modo que intervenções desenhadas para um eixo de cada vez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deixam de fora justamente quem está na interseção.</w:t>
      </w:r>
    </w:p>
    <w:p>
      <w:pPr>
        <w:pStyle w:val="BodyText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Os resultados são estimativas de associação condicional, e não de efeito causal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no sentido contrafactual. Ainda assim, a convergência de quatro métodos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independentes sobre a população completa, a magnitude dos diferenciais e a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robustez a confundimento não observado sustentam o diagnóstico: a discriminação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operou sobretudo no acesso à ocupação, e políticas unidimensionais — centradas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apenas em escolaridade, apenas em fiscalização salarial ou apenas em cotas — são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insuficientes para desmontá-lo.</w:t>
      </w:r>
    </w:p>
    <w:bookmarkStart w:id="120" w:name="refs"/>
    <w:bookmarkStart w:id="90" w:name="ref-almeida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ALMEIDA, Silvio Luiz de.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Racismo Estrutural</w:t>
      </w:r>
      <w:r>
        <w:rPr>
          <w:rFonts w:ascii="Arial" w:hAnsi="Arial"/>
          <w:sz w:val="22"/>
        </w:rPr>
        <w:t xml:space="preserve">. S</w:t>
      </w:r>
      <w:r>
        <w:rPr>
          <w:rFonts w:ascii="Arial" w:hAnsi="Arial"/>
          <w:sz w:val="22"/>
        </w:rPr>
        <w:t xml:space="preserve">ã</w:t>
      </w:r>
      <w:r>
        <w:rPr>
          <w:rFonts w:ascii="Arial" w:hAnsi="Arial"/>
          <w:sz w:val="22"/>
        </w:rPr>
        <w:t xml:space="preserve">o Paulo: Janda</w:t>
      </w:r>
      <w:r>
        <w:rPr>
          <w:rFonts w:ascii="Arial" w:hAnsi="Arial"/>
          <w:sz w:val="22"/>
        </w:rPr>
        <w:t xml:space="preserve">í</w:t>
      </w:r>
      <w:r>
        <w:rPr>
          <w:rFonts w:ascii="Arial" w:hAnsi="Arial"/>
          <w:sz w:val="22"/>
        </w:rPr>
        <w:t xml:space="preserve">ra, 2019.</w:t>
      </w:r>
    </w:p>
    <w:bookmarkEnd w:id="90"/>
    <w:bookmarkStart w:id="91" w:name="ref-angrist200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ANGRIST, Joshua D.; PISCHKE, Jörn-Steffen.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Mostly Harmless Econometrics: An Empiricist’s Companion</w:t>
      </w:r>
      <w:r>
        <w:rPr>
          <w:rFonts w:ascii="Arial" w:hAnsi="Arial"/>
          <w:sz w:val="22"/>
        </w:rPr>
        <w:t xml:space="preserve">. Princeton: Princeton University Press, 2009.</w:t>
      </w:r>
    </w:p>
    <w:bookmarkEnd w:id="91"/>
    <w:bookmarkStart w:id="92" w:name="ref-arrow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ARROW, Kenneth J. The Theory of Discrimination.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ASHENFELTER, Orley; REES, Albert (Orgs.).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Discrimination in Labor Markets</w:t>
      </w:r>
      <w:r>
        <w:rPr>
          <w:rFonts w:ascii="Arial" w:hAnsi="Arial"/>
          <w:sz w:val="22"/>
        </w:rPr>
        <w:t xml:space="preserve">. Princeton, NJ: Princeton University Press, 1973. p. 3–33.</w:t>
      </w:r>
    </w:p>
    <w:bookmarkEnd w:id="92"/>
    <w:bookmarkStart w:id="93" w:name="ref-becker195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BECKER, Gary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Economics of Discrimination</w:t>
      </w:r>
      <w:r>
        <w:rPr>
          <w:rFonts w:ascii="Arial" w:hAnsi="Arial"/>
          <w:sz w:val="22"/>
        </w:rPr>
        <w:t xml:space="preserve">. Chicago: University of Chicago Press, 1957.</w:t>
      </w:r>
    </w:p>
    <w:bookmarkEnd w:id="93"/>
    <w:bookmarkStart w:id="94" w:name="ref-bickel200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BICKEL, Peter J.; SAKOV, Anat. On the Choice of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in the</w:t>
      </w:r>
      <w:r>
        <w:rPr>
          <w:rFonts w:ascii="Arial" w:hAnsi="Arial"/>
          <w:sz w:val="22"/>
        </w:rPr>
        <w:t xml:space="preserve"> </w:t>
      </w:r>
      <m:oMath>
        <m:r>
          <m:t>m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out of</w:t>
      </w:r>
      <w:r>
        <w:rPr>
          <w:rFonts w:ascii="Arial" w:hAnsi="Arial"/>
          <w:sz w:val="22"/>
        </w:rPr>
        <w:t xml:space="preserve"> </w:t>
      </w:r>
      <m:oMath>
        <m:r>
          <m:t>n</m:t>
        </m:r>
      </m:oMath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Bootstrap and Confidence Bounds for Extrema.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Statistica Sinica</w:t>
      </w:r>
      <w:r>
        <w:rPr>
          <w:rFonts w:ascii="Arial" w:hAnsi="Arial"/>
          <w:sz w:val="22"/>
        </w:rPr>
        <w:t xml:space="preserve">, v. 18, n. 3, p. 967–985, 2008.</w:t>
      </w:r>
    </w:p>
    <w:bookmarkEnd w:id="94"/>
    <w:bookmarkStart w:id="95" w:name="ref-blinder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BLINDER, Alan S. Wage Discrimination: Reduced Form and Structural Estimates.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Human Resources</w:t>
      </w:r>
      <w:r>
        <w:rPr>
          <w:rFonts w:ascii="Arial" w:hAnsi="Arial"/>
          <w:sz w:val="22"/>
        </w:rPr>
        <w:t xml:space="preserve">, v. 8, n. 4, p. 436–455, 1973.</w:t>
      </w:r>
    </w:p>
    <w:bookmarkEnd w:id="95"/>
    <w:bookmarkStart w:id="96" w:name="ref-breiman2001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BREIMAN, Leo. Random Forests.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Machine Learning</w:t>
      </w:r>
      <w:r>
        <w:rPr>
          <w:rFonts w:ascii="Arial" w:hAnsi="Arial"/>
          <w:sz w:val="22"/>
        </w:rPr>
        <w:t xml:space="preserve">, v. 45, n. 1, p. 5–32, 2001.</w:t>
      </w:r>
    </w:p>
    <w:bookmarkEnd w:id="96"/>
    <w:bookmarkStart w:id="97" w:name="ref-cameron200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CAMERON, A. Colin; GELBACH, Jonah B.; MILLER, Douglas L. Bootstrap-Based Improvements for Inference with Clustered Errors.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Review of Economics and Statistics</w:t>
      </w:r>
      <w:r>
        <w:rPr>
          <w:rFonts w:ascii="Arial" w:hAnsi="Arial"/>
          <w:sz w:val="22"/>
        </w:rPr>
        <w:t xml:space="preserve">, v. 90, n. 3, p. 414–427, 2008.</w:t>
      </w:r>
    </w:p>
    <w:bookmarkEnd w:id="97"/>
    <w:bookmarkStart w:id="98" w:name="ref-chen2016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CHEN, Tianqi; GUESTRIN,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sz w:val="22"/>
        </w:rPr>
        <w:t xml:space="preserve">XGBoost</w:t>
      </w:r>
      <w:r>
        <w:rPr>
          <w:rFonts w:ascii="Arial" w:hAnsi="Arial"/>
          <w:sz w:val="22"/>
        </w:rPr>
        <w:t xml:space="preserve">: A Scalable Tree Boosting System.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In</w:t>
      </w:r>
      <w:r>
        <w:rPr>
          <w:rFonts w:ascii="Arial" w:hAnsi="Arial"/>
          <w:sz w:val="22"/>
        </w:rPr>
        <w:t xml:space="preserve">: 2016.</w:t>
      </w:r>
    </w:p>
    <w:bookmarkEnd w:id="98"/>
    <w:bookmarkStart w:id="99" w:name="ref-duan198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DUAN, Naihua. Smearing Estimate: A Nonparametric Retransformation Method.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Journal of the American Statistical Association</w:t>
      </w:r>
      <w:r>
        <w:rPr>
          <w:rFonts w:ascii="Arial" w:hAnsi="Arial"/>
          <w:sz w:val="22"/>
        </w:rPr>
        <w:t xml:space="preserve">, v. 78, n. 383, p. 605–610, 1983.</w:t>
      </w:r>
    </w:p>
    <w:bookmarkEnd w:id="99"/>
    <w:bookmarkStart w:id="100" w:name="ref-firpo201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FIRPO, Sergio P.; FORTIN, Nicole M.; LEMIEUX, Thomas. Decomposing Wage Distributions Using Recentered Influence Function Regressions.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Econometrics</w:t>
      </w:r>
      <w:r>
        <w:rPr>
          <w:rFonts w:ascii="Arial" w:hAnsi="Arial"/>
          <w:sz w:val="22"/>
        </w:rPr>
        <w:t xml:space="preserve">, v. 6, n. 2, p. 28, 2018.</w:t>
      </w:r>
    </w:p>
    <w:bookmarkEnd w:id="100"/>
    <w:bookmarkStart w:id="101" w:name="ref-frank201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FRANK, Kenneth A.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i/>
          <w:iCs/>
          <w:sz w:val="22"/>
        </w:rPr>
        <w:t xml:space="preserve">et al.</w:t>
      </w:r>
      <w:r>
        <w:rPr>
          <w:rFonts w:ascii="Arial" w:hAnsi="Arial"/>
          <w:sz w:val="22"/>
        </w:rPr>
        <w:t xml:space="preserve"> What Would It Take to Change an Inference? Using Rubin’s Causal Model to Interpret the Robustness of Causal Inferences.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Educational Evaluation and Policy Analysis</w:t>
      </w:r>
      <w:r>
        <w:rPr>
          <w:rFonts w:ascii="Arial" w:hAnsi="Arial"/>
          <w:sz w:val="22"/>
        </w:rPr>
        <w:t xml:space="preserve">, v. 35, n. 4, p. 437–460, 2013.</w:t>
      </w:r>
    </w:p>
    <w:bookmarkEnd w:id="101"/>
    <w:bookmarkStart w:id="102" w:name="ref-granovetter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GRANOVETTER, Mark S. The Strength of Weak Ties.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American Journal of Sociology</w:t>
      </w:r>
      <w:r>
        <w:rPr>
          <w:rFonts w:ascii="Arial" w:hAnsi="Arial"/>
          <w:sz w:val="22"/>
        </w:rPr>
        <w:t xml:space="preserve">, v. 78, n. 6, p. 1360–1380, 1973.</w:t>
      </w:r>
    </w:p>
    <w:bookmarkEnd w:id="102"/>
    <w:bookmarkStart w:id="103" w:name="ref-hasenbalg197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HASENBALG, Carlos.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Discriminação e Desigualdades Raciais no Brasil</w:t>
      </w:r>
      <w:r>
        <w:rPr>
          <w:rFonts w:ascii="Arial" w:hAnsi="Arial"/>
          <w:sz w:val="22"/>
        </w:rPr>
        <w:t xml:space="preserve">. Rio de Janeiro: Graal, 1979.</w:t>
      </w:r>
    </w:p>
    <w:bookmarkEnd w:id="103"/>
    <w:bookmarkStart w:id="104" w:name="ref-henriques2001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HENRIQUES, Ricardo. Desigualdade Racial no Brasil: Evolução das Condições de Vida na Década de 90.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Texto para Discussão IPEA</w:t>
      </w:r>
      <w:r>
        <w:rPr>
          <w:rFonts w:ascii="Arial" w:hAnsi="Arial"/>
          <w:sz w:val="22"/>
        </w:rPr>
        <w:t xml:space="preserve">, n. 807, 2001.</w:t>
      </w:r>
    </w:p>
    <w:bookmarkEnd w:id="104"/>
    <w:bookmarkStart w:id="105" w:name="ref-ibge_pof_201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de Orçamentos Familiares 2017–2018: análise da qualidade de vida (Índice de Perda de Qualidade de Vida)</w:t>
      </w:r>
      <w:r>
        <w:rPr>
          <w:rFonts w:ascii="Arial" w:hAnsi="Arial"/>
          <w:sz w:val="22"/>
        </w:rPr>
        <w:t xml:space="preserve">. Rio de Janeiro: Instituto Brasileiro de Geografia e Estatística, 2019.</w:t>
      </w:r>
    </w:p>
    <w:bookmarkEnd w:id="105"/>
    <w:bookmarkStart w:id="106" w:name="ref-ibge_pnad_202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Notas Metodológicas</w:t>
      </w:r>
      <w:r>
        <w:rPr>
          <w:rFonts w:ascii="Arial" w:hAnsi="Arial"/>
          <w:sz w:val="22"/>
        </w:rPr>
        <w:t xml:space="preserve">. Rio de Janeiro: Instituto Brasileiro de Geografia e Estatística, 2023.</w:t>
      </w:r>
    </w:p>
    <w:bookmarkEnd w:id="106"/>
    <w:bookmarkStart w:id="107" w:name="ref-ibge_rendimentos_2025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IBGE.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Pesquisa Nacional por Amostra de Domicílios Contínua: Rendimento de Todas as Fontes 2025</w:t>
      </w:r>
      <w:r>
        <w:rPr>
          <w:rFonts w:ascii="Arial" w:hAnsi="Arial"/>
          <w:sz w:val="22"/>
        </w:rPr>
        <w:t xml:space="preserve">. Rio de Janeiro: Instituto Brasileiro de Geografia e Estatística, 2025.</w:t>
      </w:r>
    </w:p>
    <w:bookmarkEnd w:id="107"/>
    <w:bookmarkStart w:id="108" w:name="ref-koenker1978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KOENKER, Roger; BASSETT, Gilbert. Regression Quantiles.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Econometrica</w:t>
      </w:r>
      <w:r>
        <w:rPr>
          <w:rFonts w:ascii="Arial" w:hAnsi="Arial"/>
          <w:sz w:val="22"/>
        </w:rPr>
        <w:t xml:space="preserve">, v. 46, n. 1, p. 33–50, 1978.</w:t>
      </w:r>
    </w:p>
    <w:bookmarkEnd w:id="108"/>
    <w:bookmarkStart w:id="109" w:name="ref-lundberg201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LUNDBERG, Scott M.; LEE, Su-In. A Unified Approach to Interpreting Model Predictions.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Advances in Neural Information Processing Systems</w:t>
      </w:r>
      <w:r>
        <w:rPr>
          <w:rFonts w:ascii="Arial" w:hAnsi="Arial"/>
          <w:sz w:val="22"/>
        </w:rPr>
        <w:t xml:space="preserve">, v. 30, 2017.</w:t>
      </w:r>
    </w:p>
    <w:bookmarkEnd w:id="109"/>
    <w:bookmarkStart w:id="110" w:name="ref-manski199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MANSKI, Charles F. Identification of Endogenous Social Effects: The Reflection Problem.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 Studies</w:t>
      </w:r>
      <w:r>
        <w:rPr>
          <w:rFonts w:ascii="Arial" w:hAnsi="Arial"/>
          <w:sz w:val="22"/>
        </w:rPr>
        <w:t xml:space="preserve">, v. 60, n. 3, p. 531–542, 1993.</w:t>
      </w:r>
    </w:p>
    <w:bookmarkEnd w:id="110"/>
    <w:bookmarkStart w:id="111" w:name="ref-marques2010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MARQUES, Eduardo. Redes Sociais, Segregação e Pobreza em São Paulo.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Dados: Revista de Ciências Sociais</w:t>
      </w:r>
      <w:r>
        <w:rPr>
          <w:rFonts w:ascii="Arial" w:hAnsi="Arial"/>
          <w:sz w:val="22"/>
        </w:rPr>
        <w:t xml:space="preserve">, v. 53, n. 1, p. 5–50, 2010.</w:t>
      </w:r>
    </w:p>
    <w:bookmarkEnd w:id="111"/>
    <w:bookmarkStart w:id="112" w:name="ref-oaxaca1973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OAXACA, Ronald. Male-Female Wage Differentials in Urban Labor Markets.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International Economic Review</w:t>
      </w:r>
      <w:r>
        <w:rPr>
          <w:rFonts w:ascii="Arial" w:hAnsi="Arial"/>
          <w:sz w:val="22"/>
        </w:rPr>
        <w:t xml:space="preserve">, v. 14, n. 3, p. 693–709, 1973.</w:t>
      </w:r>
    </w:p>
    <w:bookmarkEnd w:id="112"/>
    <w:bookmarkStart w:id="113" w:name="ref-oaxaca_ransom199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OAXACA, Ronald L.; RANSOM, Michael R. Identification in Detailed Wage Decompositions.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Review of Economics and Statistics</w:t>
      </w:r>
      <w:r>
        <w:rPr>
          <w:rFonts w:ascii="Arial" w:hAnsi="Arial"/>
          <w:sz w:val="22"/>
        </w:rPr>
        <w:t xml:space="preserve">, v. 81, n. 1, p. 154–157, 1999.</w:t>
      </w:r>
    </w:p>
    <w:bookmarkEnd w:id="113"/>
    <w:bookmarkStart w:id="114" w:name="ref-pager200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PAGER, Devah.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Marked: Race, Crime, and Finding Work in an Era of Mass Incarceration</w:t>
      </w:r>
      <w:r>
        <w:rPr>
          <w:rFonts w:ascii="Arial" w:hAnsi="Arial"/>
          <w:sz w:val="22"/>
        </w:rPr>
        <w:t xml:space="preserve">. Chicago: University of Chicago Press, 2007.</w:t>
      </w:r>
    </w:p>
    <w:bookmarkEnd w:id="114"/>
    <w:bookmarkStart w:id="115" w:name="ref-raudenbush2002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RAUDENBUSH, Stephen W.; BRYK, Anthony S.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Hierarchical Linear Models: Applications and Data Analysis Methods</w:t>
      </w:r>
      <w:r>
        <w:rPr>
          <w:rFonts w:ascii="Arial" w:hAnsi="Arial"/>
          <w:sz w:val="22"/>
        </w:rPr>
        <w:t xml:space="preserve">. 2. ed. Thousand Oaks, CA: Sage, 2002.</w:t>
      </w:r>
    </w:p>
    <w:bookmarkEnd w:id="115"/>
    <w:bookmarkStart w:id="116" w:name="ref-sampson199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SAMPSON, Robert J.; RAUDENBUSH, Stephen W.; EARLS, Felton. Neighborhoods and Violent Crime: A Multilevel Study of Collective Efficacy.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Science</w:t>
      </w:r>
      <w:r>
        <w:rPr>
          <w:rFonts w:ascii="Arial" w:hAnsi="Arial"/>
          <w:sz w:val="22"/>
        </w:rPr>
        <w:t xml:space="preserve">, v. 277, p. 918–924, 1997.</w:t>
      </w:r>
    </w:p>
    <w:bookmarkEnd w:id="116"/>
    <w:bookmarkStart w:id="117" w:name="ref-soares2009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SOARES, Sergei. Desigualdade Racial de Renda no Brasil: 1976–2006.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Estudos Econômicos</w:t>
      </w:r>
      <w:r>
        <w:rPr>
          <w:rFonts w:ascii="Arial" w:hAnsi="Arial"/>
          <w:sz w:val="22"/>
        </w:rPr>
        <w:t xml:space="preserve">, v. 39, n. 4, p. 803–825, 2009.</w:t>
      </w:r>
    </w:p>
    <w:bookmarkEnd w:id="117"/>
    <w:bookmarkStart w:id="118" w:name="ref-vanderweele201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VANDERWEELE, Tyler J.; DING, Peng. Sensitivity Analysis in Observational Research: Introducing the E-Value.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Annals of Internal Medicine</w:t>
      </w:r>
      <w:r>
        <w:rPr>
          <w:rFonts w:ascii="Arial" w:hAnsi="Arial"/>
          <w:sz w:val="22"/>
        </w:rPr>
        <w:t xml:space="preserve">, v. 167, n. 4, p. 268–274, 2017.</w:t>
      </w:r>
    </w:p>
    <w:bookmarkEnd w:id="118"/>
    <w:bookmarkStart w:id="119" w:name="ref-wilson1987"/>
    <w:p>
      <w:pPr>
        <w:pStyle w:val="Bibliography"/>
        <w:spacing w:line="360" w:lineRule="auto" w:after="0"/>
        <w:ind w:firstLine="709"/>
        <w:jc w:val="both"/>
      </w:pPr>
      <w:r>
        <w:rPr>
          <w:rFonts w:ascii="Arial" w:hAnsi="Arial"/>
          <w:sz w:val="22"/>
        </w:rPr>
        <w:t xml:space="preserve">WILSON, William J.</w:t>
      </w:r>
      <w:r>
        <w:rPr>
          <w:rFonts w:ascii="Arial" w:hAnsi="Arial"/>
          <w:sz w:val="22"/>
        </w:rPr>
        <w:t xml:space="preserve"> </w:t>
      </w:r>
      <w:r>
        <w:rPr>
          <w:rFonts w:ascii="Arial" w:hAnsi="Arial"/>
          <w:b/>
          <w:bCs/>
          <w:sz w:val="22"/>
        </w:rPr>
        <w:t xml:space="preserve">The Truly Disadvantaged: The Inner City, the Underclass, and Public Policy</w:t>
      </w:r>
      <w:r>
        <w:rPr>
          <w:rFonts w:ascii="Arial" w:hAnsi="Arial"/>
          <w:sz w:val="22"/>
        </w:rPr>
        <w:t xml:space="preserve">. Chicago: University of Chicago Press, 1987.</w:t>
      </w:r>
    </w:p>
    <w:bookmarkEnd w:id="119"/>
    <w:bookmarkEnd w:id="120"/>
    <w:bookmarkEnd w:id="121"/>
    <w:sectPr w:rsidR="00FE14AF" w:rsidRPr="000B508B" w:rsidSect="00346452">
      <w:headerReference r:id="rId11" w:type="default"/>
      <w:footerReference r:id="rId12" w:type="default"/>
      <w:footerReference r:id="rId13" w:type="first"/>
      <w:pgSz w:code="9" w:h="16838" w:w="11906"/>
      <w:pgMar w:bottom="1417" w:footer="709" w:gutter="0" w:header="709" w:left="1417" w:right="1417" w:top="1417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_________ (Nome do curso) – ____ (ano da defesa)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ascii="Arial" w:hAnsi="Arial"/>
      <w:sz w:val="22"/>
    </w:rPr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1" Type="http://schemas.openxmlformats.org/officeDocument/2006/relationships/numbering" Target="numbering.xml"/><Relationship Id="rId20" Type="http://schemas.openxmlformats.org/officeDocument/2006/relationships/styles" Target="styles.xml"/><Relationship Id="rId19" Type="http://schemas.openxmlformats.org/officeDocument/2006/relationships/settings" Target="settings.xml"/><Relationship Id="rId18" Type="http://schemas.openxmlformats.org/officeDocument/2006/relationships/webSettings" Target="webSettings.xml"/><Relationship Id="rId17" Type="http://schemas.openxmlformats.org/officeDocument/2006/relationships/fontTable" Target="fontTable.xml"/><Relationship Id="rId16" Type="http://schemas.openxmlformats.org/officeDocument/2006/relationships/theme" Target="theme/theme1.xml"/><Relationship Id="rId15" Type="http://schemas.openxmlformats.org/officeDocument/2006/relationships/footnotes" Target="footnotes.xml"/><Relationship Id="rId14" Type="http://schemas.openxmlformats.org/officeDocument/2006/relationships/comments" Target="comments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1" Type="http://schemas.openxmlformats.org/officeDocument/2006/relationships/header" Target="header1.xml"/><Relationship Id="rId71" Type="http://schemas.openxmlformats.org/officeDocument/2006/relationships/image" Target="media/rId71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6" Type="http://schemas.openxmlformats.org/officeDocument/2006/relationships/image" Target="media/rId66.png"/><Relationship Id="rId80" Type="http://schemas.openxmlformats.org/officeDocument/2006/relationships/image" Target="media/rId80.png"/><Relationship Id="rId33" Type="http://schemas.openxmlformats.org/officeDocument/2006/relationships/image" Target="media/rId33.png"/><Relationship Id="rId43" Type="http://schemas.openxmlformats.org/officeDocument/2006/relationships/image" Target="media/rId43.png"/><Relationship Id="rId47" Type="http://schemas.openxmlformats.org/officeDocument/2006/relationships/image" Target="media/rId4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2026-09-23T23:28:09Z</dcterms:created>
  <dcterms:modified xsi:type="dcterms:W3CDTF">2026-09-23T23:28:09Z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