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Racismo estrutural no mercado de trabalho brasileiro: uma abordagem multinível</w:t>
      </w:r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e de decomposição salarial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Ricardo Gomes Calheiros</w:t>
      </w:r>
      <w:r>
        <w:rPr>
          <w:rFonts w:ascii="Arial" w:hAnsi="Arial"/>
          <w:sz w:val="22"/>
          <w:vertAlign w:val="superscript"/>
        </w:rPr>
        <w:t xml:space="preserve">1*</w:t>
      </w:r>
      <w:r>
        <w:rPr>
          <w:rFonts w:ascii="Arial" w:hAnsi="Arial"/>
          <w:sz w:val="22"/>
        </w:rPr>
        <w:t xml:space="preserve">; Edilson José Rodrigues</w:t>
      </w:r>
      <w:r>
        <w:rPr>
          <w:rFonts w:ascii="Arial" w:hAnsi="Arial"/>
          <w:sz w:val="22"/>
          <w:vertAlign w:val="superscript"/>
        </w:rPr>
        <w:t xml:space="preserve">2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  <w:vertAlign w:val="superscript"/>
        </w:rPr>
        <w:t xml:space="preserve">1*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Especialista em Finanças, Controladoria e Auditoria.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E-mail autor correspondente: rickinrj@gmail.com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  <w:vertAlign w:val="superscript"/>
        </w:rPr>
        <w:t xml:space="preserve">2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Doutor em Engenharia Elétrica. MBA USP/Esalq.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E-mail: orientador@usp.br</w:t>
      </w:r>
    </w:p>
    <w:p>
      <w:pPr>
        <w:pStyle w:val="BodyText"/>
        <w:spacing w:line="360" w:lineRule="auto" w:after="0"/>
        <w:ind w:firstLine="709"/>
        <w:jc w:val="both"/>
      </w:pPr>
      <w:r>
        <w:br w:type="page"/>
        <w:rPr>
          <w:rFonts w:ascii="Arial" w:hAnsi="Arial"/>
          <w:b/>
          <w:bCs/>
          <w:sz w:val="22"/>
        </w:rPr>
        <w:t xml:space="preserve">Racismo estrutural no mercado de trabalho brasileiro: uma abordagem multinível</w:t>
      </w:r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e de decomposição salarial</w:t>
      </w:r>
    </w:p>
    <w:p>
      <w:pPr>
        <w:pStyle w:val="BodyText"/>
        <w:spacing w:line="360" w:lineRule="auto" w:before="280" w:after="280"/>
        <w:ind w:firstLine="0" w:left="0"/>
        <w:jc w:val="left"/>
      </w:pPr>
      <w:r>
        <w:rPr>
          <w:rFonts w:ascii="Arial" w:hAnsi="Arial"/>
          <w:b/>
          <w:bCs/>
          <w:sz w:val="22"/>
        </w:rPr>
        <w:t xml:space="preserve">Resumo</w:t>
      </w:r>
    </w:p>
    <w:p>
      <w:pPr>
        <w:pStyle w:val="BodyText"/>
        <w:spacing w:line="240" w:lineRule="auto" w:before="0" w:after="0"/>
        <w:ind w:firstLine="0"/>
        <w:jc w:val="both"/>
      </w:pPr>
      <w:r>
        <w:rPr>
          <w:rFonts w:ascii="Arial" w:hAnsi="Arial"/>
          <w:sz w:val="22"/>
        </w:rPr>
        <w:t xml:space="preserve">Este trabalho investigou o diferencial racial de rendimentos e as barreiras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acesso ocupacional no Brasil com a série completa da Pesquisa Nacional por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Amostra de Domicílios Contínua, de 2016 a 2025, sobre 7.694.198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observações da população ocupada com rendimento positivo 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40.969 setores de amostragem. Quatro métodos foram aplicados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forma articulada: modelo linear hierárquico de dois níveis, com indivíduos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aninhados em bairros e efeitos fixos de estado; decomposição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Oaxaca–Blinder; regressão quantílica com decomposição por função de influência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recentrada; e modelo logístico multinível de acesso, estimado por máxima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verossimilhança. Um modelo de aprendizado de máquina interpretável serviu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contraprova à forma funcional. O gap agregado foi de 19,1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quais 47,0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diferencial que sobreviveu ao controle de capital humano, contexto e estado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foi de 10,2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ocupação. A decomposição atribuiu 28,4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diferenciais. O modelo de acesso estimou razão de chances de 0,699 para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cargo qualificado e 0,654 para o décimo superior da renda, indicando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barreira que se agrava no topo. A desvantagem da mulher negra excedeu 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4,6 pontos percentuais a soma das penalidades de raça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 de gênero isoladas. Concluiu-se que a discriminação operou sobretudo no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acesso à ocupação, e não apenas no salário, de modo que políticas centradas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apenas em escolaridade se mostraram insuficientes.</w:t>
      </w:r>
    </w:p>
    <w:p>
      <w:pPr>
        <w:pStyle w:val="BodyText"/>
        <w:spacing w:line="240" w:lineRule="auto" w:before="0" w:after="280"/>
        <w:ind w:firstLine="0"/>
        <w:jc w:val="both"/>
      </w:pPr>
      <w:r>
        <w:rPr>
          <w:rFonts w:ascii="Arial" w:hAnsi="Arial"/>
          <w:b/>
          <w:bCs/>
          <w:sz w:val="22"/>
        </w:rPr>
        <w:t xml:space="preserve">Palavras-chave</w:t>
      </w:r>
      <w:r>
        <w:rPr>
          <w:rFonts w:ascii="Arial" w:hAnsi="Arial"/>
          <w:sz w:val="22"/>
        </w:rPr>
        <w:t xml:space="preserve">: diferencial racial de rendimentos;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segregação residencial; teto de vidro; decomposição de Oaxaca–Blinder;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interseccionalidade.</w:t>
      </w:r>
    </w:p>
    <w:p>
      <w:pPr>
        <w:pStyle w:val="BodyText"/>
        <w:spacing w:line="240" w:lineRule="auto" w:before="0" w:after="0"/>
        <w:ind w:firstLine="0"/>
        <w:jc w:val="both"/>
      </w:pPr>
      <w:r>
        <w:br w:type="page"/>
        <w:rPr>
          <w:rFonts w:ascii="Arial" w:hAnsi="Arial"/>
          <w:b/>
          <w:bCs/>
          <w:sz w:val="22"/>
        </w:rPr>
        <w:t xml:space="preserve">Structural racism in the Brazilian labour market: a multilevel and</w:t>
      </w:r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wage-decomposition approach</w:t>
      </w:r>
    </w:p>
    <w:p>
      <w:pPr>
        <w:pStyle w:val="BodyText"/>
        <w:spacing w:line="360" w:lineRule="auto" w:before="280" w:after="280"/>
        <w:ind w:firstLine="0" w:left="0"/>
        <w:jc w:val="left"/>
      </w:pPr>
      <w:r>
        <w:rPr>
          <w:rFonts w:ascii="Arial" w:hAnsi="Arial"/>
          <w:b/>
          <w:bCs/>
          <w:sz w:val="22"/>
        </w:rPr>
        <w:t xml:space="preserve">Abstract</w:t>
      </w:r>
    </w:p>
    <w:p>
      <w:pPr>
        <w:pStyle w:val="BodyText"/>
        <w:spacing w:line="240" w:lineRule="auto" w:before="0" w:after="0"/>
        <w:ind w:firstLine="0"/>
        <w:jc w:val="both"/>
      </w:pPr>
      <w:r>
        <w:rPr>
          <w:rFonts w:ascii="Arial" w:hAnsi="Arial"/>
          <w:sz w:val="22"/>
        </w:rPr>
        <w:t xml:space="preserve">This study examined the racial earnings differential and occupational access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barriers in Brazil using the complete series of the Brazilian Continuous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National Household Sample Survey, from 2016 to 2025, covering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7.694.198 observations of employed workers with positive earnings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 40.969 sampling units. Four methods were jointly applied: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two-level hierarchical linear model, with individuals nested in neighbourhoods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and state fixed effects; an Oaxaca–Blinder decomposition; quantile regression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with recentred influence function decomposition; and a multilevel logistic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model of occupational access, estimated by maximum likelihood. An interpretable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machine learning model served as a functional-form check. The aggregate gap was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19,1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neighbourhood of residence; the differential surviving controls for human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capital, context and state was 10,2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persisted within the same occupation. The decomposition attributed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28,4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estimated odds ratios of 0,699 for qualified occupations and 0,654 for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the top income decile, indicating a barrier that tightens towards the top. The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disadvantage faced by Black women exceeded the sum of the separate race and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gender penalties by 4,6 percentage points. It was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concluded that discrimination operated mainly in access to occupations, not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only in wages, so that policies centred solely on schooling proved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insufficient.</w:t>
      </w:r>
    </w:p>
    <w:p>
      <w:pPr>
        <w:pStyle w:val="BodyText"/>
        <w:spacing w:line="240" w:lineRule="auto" w:before="0" w:after="280"/>
        <w:ind w:firstLine="0"/>
        <w:jc w:val="both"/>
      </w:pPr>
      <w:r>
        <w:rPr>
          <w:rFonts w:ascii="Arial" w:hAnsi="Arial"/>
          <w:b/>
          <w:bCs/>
          <w:sz w:val="22"/>
        </w:rPr>
        <w:t xml:space="preserve">Keywords</w:t>
      </w:r>
      <w:r>
        <w:rPr>
          <w:rFonts w:ascii="Arial" w:hAnsi="Arial"/>
          <w:sz w:val="22"/>
        </w:rPr>
        <w:t xml:space="preserve">: racial earnings gap; residential segregation; glass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ceiling; Oaxaca–Blinder decomposition; intersectionality.</w:t>
      </w:r>
    </w:p>
    <w:bookmarkStart w:id="22" w:name="introdução"/>
    <w:p>
      <w:pPr>
        <w:pStyle w:val="Heading1"/>
        <w:spacing w:line="360" w:lineRule="auto" w:before="280" w:after="280"/>
        <w:ind w:firstLine="0" w:left="0"/>
        <w:jc w:val="left"/>
      </w:pPr>
      <w:r>
        <w:rPr>
          <w:rFonts w:ascii="Arial" w:hAnsi="Arial"/>
          <w:b/>
          <w:sz w:val="22"/>
        </w:rPr>
        <w:t xml:space="preserve">Introdução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O Brasil é um dos países com maior desigualdade racial de renda no mundo, e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razão entre o rendimento médio de trabalhadores brancos e negros permanece acima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1</w:t>
      </w:r>
      <w:r>
        <w:rPr>
          <w:rFonts w:ascii="Arial" w:hAnsi="Arial"/>
          <w:sz w:val="22"/>
        </w:rPr>
        <w:t xml:space="preserve">:</w:t>
      </w:r>
      <w:r>
        <w:rPr>
          <w:rFonts w:ascii="Arial" w:hAnsi="Arial"/>
          <w:sz w:val="22"/>
        </w:rPr>
        <w:t xml:space="preserve">1,5 em toda a série histórica disponível, mesmo quando se controlam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escolaridade, experiência e setor de atividade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(IBGE, 2023)</w:t>
      </w:r>
      <w:r>
        <w:rPr>
          <w:rFonts w:ascii="Arial" w:hAnsi="Arial"/>
          <w:sz w:val="22"/>
        </w:rPr>
        <w:t xml:space="preserve">.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explicação usual atribui esse hiato a diferenças de qualificação; se ela fosse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suficiente, a expansão do acesso ao ensino teria dissolvido o diferencial ao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longo das últimas décadas, o que não ocorreu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(Hasenbalg, 1979)</w:t>
      </w:r>
      <w:r>
        <w:rPr>
          <w:rFonts w:ascii="Arial" w:hAnsi="Arial"/>
          <w:sz w:val="22"/>
        </w:rPr>
        <w:t xml:space="preserve">. O quadro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recente reforça o ponto: a Pesquisa de Orçamentos Familiares [POF] registrou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queda de cerca de 30% no Índice de Perda de Qualidade de Vida entre 2008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2018, sem fechar o hiato racial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(IBGE, 2019)</w:t>
      </w:r>
      <w:r>
        <w:rPr>
          <w:rFonts w:ascii="Arial" w:hAnsi="Arial"/>
          <w:sz w:val="22"/>
        </w:rPr>
        <w:t xml:space="preserve">, enquanto o índice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Gini do rendimento domiciliar per capita voltou a subir em 2025, puxado pelo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topo da distribuição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(IBGE, 2025)</w:t>
      </w:r>
      <w:r>
        <w:rPr>
          <w:rFonts w:ascii="Arial" w:hAnsi="Arial"/>
          <w:sz w:val="22"/>
        </w:rPr>
        <w:t xml:space="preserve">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teoria econômica oferece duas explicações concorrentes para um diferencial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sobrevive ao controle da produtividade observável, e elas implicam políticas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distintas.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Becker (1957)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propôs a discriminação por preferência, 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que o empregador incorre em desutilidade ao contratar o grupo minoritário e, por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isso, só o faz a salário menor; nesse modelo, a concorrência tende a erodir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prática.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Arrow (1973)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formalizou a discriminação estatística, em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raça é usada como sinal da produtividade média do grupo sob informação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imperfeita; aqui o equilíbrio se autoconfirma, porque o menor retorno esperado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desestimula o investimento em qualificação. A tradição brasileira acrescenta uma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terceira leitura, na qual o racismo é processo estrutural reproduzido pelas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instituições independentemente da intenção dos agentes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(Almeida, 2019)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leitura que justifica tratar a segregação residencial e a segregação ocupacional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como mecanismos, e não como controles estatísticos.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literatura empírica identifica três canais de reprodução dessa desigualdade: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discriminação direta em processos de seleção e promoção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(Pager, 2007)</w:t>
      </w:r>
      <w:r>
        <w:rPr>
          <w:rFonts w:ascii="Arial" w:hAnsi="Arial"/>
          <w:sz w:val="22"/>
        </w:rPr>
        <w:t xml:space="preserve">; 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efeitos de vizinhança, pelos quais a concentração de pobreza em bairros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segregados reduz as redes de contato com o mercado formal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(Marques, 2010; Sampson; Raudenbush; Earls, 1997; Wilson, 1987)</w:t>
      </w:r>
      <w:r>
        <w:rPr>
          <w:rFonts w:ascii="Arial" w:hAnsi="Arial"/>
          <w:sz w:val="22"/>
        </w:rPr>
        <w:t xml:space="preserve">; e a subvalorização do capital humano negro, pela qual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um mesmo nível de escolaridade rende menos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(Henriques, 2001; Soares, 2009)</w:t>
      </w:r>
      <w:r>
        <w:rPr>
          <w:rFonts w:ascii="Arial" w:hAnsi="Arial"/>
          <w:sz w:val="22"/>
        </w:rPr>
        <w:t xml:space="preserve">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Tratados isoladamente, esses mecanismos têm sido difíceis de quantificar de forma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integrada e em escala nacional, e é essa lacuna que o presente trabalho enfrenta.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Três hipóteses orientaram a investigação. A primeira supôs que parte relevante 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diferencial racial de rendimentos é mediada pelo contexto do bairro de moradia,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não apenas por atributos individuais. A segunda supôs que a penalidade racial não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uniforme ao longo da distribuição de renda, mas se agrava no topo, configurando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teto de vidro. A terceira supôs que a barreira opera antes do salário, no acesso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às ocupações qualificadas, de modo que trabalhadores negros com o mesmo perfil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observável enfrentam menor probabilidade de nelas ingressar.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O objetivo deste trabalho foi identificar, isolar e quantificar os mecanismos 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desigualdade racial de rendimentos e de acesso ocupacional no Brasil,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distinguindo a parcela atribuível a diferenças de características da parcela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atribuível a retornos diferenciais, e traduzindo o diagnóstico em implicações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política focadas no acesso a ocupações qualificadas.</w:t>
      </w:r>
    </w:p>
    <w:bookmarkEnd w:id="22"/>
    <w:bookmarkStart w:id="32" w:name="Xc75abeba06f5f79ea98bda2c7af6242a0f43a5f"/>
    <w:p>
      <w:pPr>
        <w:pStyle w:val="Heading1"/>
        <w:spacing w:line="360" w:lineRule="auto" w:before="280" w:after="280"/>
        <w:ind w:firstLine="0" w:left="0"/>
        <w:jc w:val="left"/>
      </w:pPr>
      <w:r>
        <w:rPr>
          <w:rFonts w:ascii="Arial" w:hAnsi="Arial"/>
          <w:b/>
          <w:sz w:val="22"/>
        </w:rPr>
        <w:t xml:space="preserve">Implementação de Algoritmo(s) de Machine Learning</w:t>
      </w:r>
    </w:p>
    <w:bookmarkStart w:id="24" w:name="base-de-dados-pnad-contínua-20162025"/>
    <w:p>
      <w:pPr>
        <w:pStyle w:val="Ttulo2"/>
        <w:spacing w:line="360" w:lineRule="auto" w:before="280" w:after="280"/>
        <w:ind w:firstLine="709"/>
        <w:jc w:val="left"/>
      </w:pPr>
      <w:r>
        <w:rPr>
          <w:rFonts w:ascii="Arial" w:hAnsi="Arial"/>
          <w:b/>
          <w:sz w:val="22"/>
        </w:rPr>
        <w:t xml:space="preserve">Base de dados: PNAD Contínua (2016–2025)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PNAD Contínua é uma pesquisa amostral de domicílios conduzida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trimestralmente pelo IBGE, com cobertura nacional e metodologia de painel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rotativo. O microdado contém informações sobre características demográficas,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escolaridade, inserção no mercado de trabalho e rendimentos para todos 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moradores dos domicílios selecionados. Para este trabalho, foram processados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todos os 40 trimestres disponíveis de 2016T1 a 2025T4, totalizando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15.941.675 observações brutas, das quais 7.694.198 possuem renda positiva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declarada e completude nas variáveis do modelo.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classificação racial segue o critério binário adotado pelos estudos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desigualdade racial no Brasil: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negro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= preto (código 2) +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pardo (código 4);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branco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= branco (código 1), ambos da variável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V2010 (cor ou raça autodeclarada).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De que é feita a comparação: balanceamento e suporte comum.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Antes de qualquer controle, convém olhar em que brancos e negros diferem — é o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mostra a Tabela 1. O maior desequilíbrio não está em escolaridade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nem em horas: está 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onde se mora</w:t>
      </w:r>
      <w:r>
        <w:rPr>
          <w:rFonts w:ascii="Arial" w:hAnsi="Arial"/>
          <w:sz w:val="22"/>
        </w:rPr>
        <w:t xml:space="preserve">. A composição racial do bairro tem diferença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padronizada de −1,18 desvios — uma ordem de grandeza acima de qualquer variável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individual —, seguida do desemprego local (−0,46) e da educação média do entorno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(−0,30). É esse desequilíbrio que o nível 2 do modelo hierárquico absorve. 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dummies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escolaridade, por sua vez, são condicionais ao registro da variável,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cuja cobertura difere entre os grupos (73,7% contra 65,3% de não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registro); por isso o indicador</w:t>
      </w:r>
      <w:r>
        <w:rPr>
          <w:rFonts w:ascii="Arial" w:hAnsi="Arial"/>
          <w:sz w:val="22"/>
        </w:rPr>
        <w:t xml:space="preserve"> </w:t>
      </w:r>
      <w:r>
        <w:rPr>
          <w:rStyle w:val="VerbatimChar"/>
          <w:rFonts w:ascii="Arial" w:hAnsi="Arial"/>
          <w:sz w:val="22"/>
        </w:rPr>
        <w:t xml:space="preserve">educ_missing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entra em todos os modelos e 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retornos educacionais são lidos com a cautela registrada nas limitações.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suporte comum é amplo: 97,3% das UPAs abrigam trabalhadores dos dois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grupos e todas as células UF </w:t>
      </w:r>
      <m:oMath>
        <m:r>
          <m:rPr>
            <m:sty m:val="p"/>
          </m:rPr>
          <m:t>×</m:t>
        </m:r>
      </m:oMath>
      <w:r>
        <w:rPr>
          <w:rFonts w:ascii="Arial" w:hAnsi="Arial"/>
          <w:sz w:val="22"/>
        </w:rPr>
        <w:t xml:space="preserve"> escolaridade contêm brancos e negros, de modo que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comparação não depende de extrapolação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(Angrist; Pischke, 2009)</w:t>
      </w:r>
      <w:r>
        <w:rPr>
          <w:rFonts w:ascii="Arial" w:hAnsi="Arial"/>
          <w:sz w:val="22"/>
        </w:rPr>
        <w:t xml:space="preserve">.</w:t>
      </w:r>
    </w:p>
    <w:bookmarkStart w:id="23" w:name="tab:balanceamento"/>
    <w:p>
      <w:pPr>
        <w:pStyle w:val="Tabl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Tabela 1. Balanceamento entre trabalhadores brancos e negros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antes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qualquer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controle — a tabela que mostra de que é feita a comparação (Angrist &amp; Pischke, cap. 3).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Diferença padronizada:</w:t>
      </w:r>
      <w:r>
        <w:rPr>
          <w:rFonts w:ascii="Arial" w:hAnsi="Arial"/>
          <w:sz w:val="22"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sSubSup>
              <m:e>
                <m:r>
                  <m:t>s</m:t>
                </m:r>
              </m:e>
              <m:sub>
                <m:r>
                  <m:t>b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s</m:t>
                </m:r>
              </m:e>
              <m:sub>
                <m:r>
                  <m:t>n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rPr>
          <w:rFonts w:ascii="Arial" w:hAnsi="Arial"/>
          <w:sz w:val="22"/>
        </w:rPr>
        <w:t xml:space="preserve">; valores acima de</w:t>
      </w:r>
      <w:r>
        <w:rPr>
          <w:rFonts w:ascii="Arial" w:hAnsi="Arial"/>
          <w:sz w:val="22"/>
        </w:rPr>
        <w:t xml:space="preserve"> </w:t>
      </w:r>
      <m:oMath>
        <m:r>
          <m:t>0</m:t>
        </m:r>
        <m:r>
          <m:rPr>
            <m:sty m:val="p"/>
          </m:rPr>
          <m:t>,</m:t>
        </m:r>
        <m:r>
          <m:t>10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módulo indicam desequilíbrio relevante. População completa da PEA com renda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positiva (</w:t>
      </w:r>
      <m:oMath>
        <m:r>
          <m:t>N</m:t>
        </m:r>
        <m:r>
          <m:rPr>
            <m:sty m:val="p"/>
          </m:rPr>
          <m:t>=</m:t>
        </m:r>
        <m:r>
          <m:t>7.694</m:t>
        </m:r>
        <m:r>
          <m:t>.198</m:t>
        </m:r>
      </m:oMath>
      <w:r>
        <w:rPr>
          <w:rFonts w:ascii="Arial" w:hAnsi="Arial"/>
          <w:sz w:val="22"/>
        </w:rPr>
        <w:t xml:space="preserve">; 3.259.516 brancos e 4.434.682 negros).</w:t>
      </w:r>
    </w:p>
    <w:tbl>
      <w:tblPr>
        <w:tblStyle w:val="Table"/>
        <w:tblW w:type="auto" w:w="0"/>
        <w:tblLayout w:type="fixed"/>
        <w:tblLook w:firstRow="1" w:lastRow="0" w:firstColumn="0" w:lastColumn="0" w:noHBand="0" w:noVBand="0" w:val="0020"/>
        <w:tblCaption w:val="Tabela 1. Balanceamento entre trabalhadores brancos e negros antes de qualquer controle — a tabela que mostra de que é feita a comparação (Angrist &amp; Pischke, cap. 3). Diferença padronizada: d = (\bar x_b - \bar x_n)/\sqrt{(s_b^2+s_n^2)/2}; valores acima de 0{,}10 em módulo indicam desequilíbrio relevante. População completa da PEA com renda positiva (N = 7.694.198; 3.259.516 brancos e 4.434.682 negros).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089"/>
        <w:gridCol w:w="1359"/>
        <w:gridCol w:w="1132"/>
        <w:gridCol w:w="1359"/>
        <w:gridCol w:w="1132"/>
      </w:tblGrid>
      <w:tr>
        <w:trPr>
          <w:tblHeader w:val="on"/>
        </w:trPr>
        <w:tc>
          <w:tcPr>
            <w:tcW w:type="dxa" w:w="4089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Variável</w:t>
            </w:r>
          </w:p>
        </w:tc>
        <w:tc>
          <w:tcPr>
            <w:tcW w:type="dxa" w:w="1359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Brancos</w:t>
            </w:r>
          </w:p>
        </w:tc>
        <w:tc>
          <w:tcPr>
            <w:tcW w:type="dxa" w:w="1132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Negros</w:t>
            </w:r>
          </w:p>
        </w:tc>
        <w:tc>
          <w:tcPr>
            <w:tcW w:type="dxa" w:w="1359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Diferença</w:t>
            </w:r>
          </w:p>
        </w:tc>
        <w:tc>
          <w:tcPr>
            <w:tcW w:type="dxa" w:w="1132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m:oMath>
              <m:r>
                <m:t>d</m:t>
              </m:r>
            </m:oMath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log do rendimento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7,577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7,151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0,425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0,47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Idade (centrada)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−1,638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−3,110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1,472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0,11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Sexo feminino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0,437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0,399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0,038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0,08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Fundamental completo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0,003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0,009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−0,006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−0,07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Médio completo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0,046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0,041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0,006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0,03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Superior completo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0,198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0,278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−0,080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−0,19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Pós-graduação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0,006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0,009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−0,004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−0,04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Escolaridade não registrada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0,737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0,653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0,084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0,18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log(horas trabalhadas)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3,644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3,598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0,045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0,11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Reside em área urbana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0,813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0,773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0,039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0,10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Emprego formal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0,493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0,439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0,054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0,11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Conta própria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0,277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0,282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−0,006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−0,01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Trabalho doméstico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0,049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0,079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−0,030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−0,12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dirigente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0,055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0,023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0,032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0,16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profissional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0,149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0,079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0,071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0,22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técnico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0,090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0,066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0,023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0,09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% negro na UPA (</w:t>
            </w:r>
            <m:oMath>
              <m:r>
                <m:t>z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)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−0,705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0,335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−1,040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−1,18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Desemprego na UPA (</w:t>
            </w:r>
            <m:oMath>
              <m:r>
                <m:t>z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)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−0,327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0,093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−0,420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−0,46</w:t>
            </w:r>
          </w:p>
        </w:tc>
      </w:tr>
      <w:tr>
        <w:tc>
          <w:tcPr>
            <w:tcW w:type="dxa" w:w="4089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 média na UPA (</w:t>
            </w:r>
            <m:oMath>
              <m:r>
                <m:t>z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)</w:t>
            </w:r>
          </w:p>
        </w:tc>
        <w:tc>
          <w:tcPr>
            <w:tcW w:type="dxa" w:w="1359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−0,133</w:t>
            </w:r>
          </w:p>
        </w:tc>
        <w:tc>
          <w:tcPr>
            <w:tcW w:type="dxa" w:w="1132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0,165</w:t>
            </w:r>
          </w:p>
        </w:tc>
        <w:tc>
          <w:tcPr>
            <w:tcW w:type="dxa" w:w="1359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−0,298</w:t>
            </w:r>
          </w:p>
        </w:tc>
        <w:tc>
          <w:tcPr>
            <w:tcW w:type="dxa" w:w="1132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−0,30</w:t>
            </w:r>
          </w:p>
        </w:tc>
      </w:tr>
    </w:tbl>
    <w:bookmarkEnd w:id="23"/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i/>
          <w:iCs/>
          <w:sz w:val="22"/>
        </w:rPr>
        <w:t xml:space="preserve">Suporte comum: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97,3% das UPAs têm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trabalhadores dos dois grupos, e 100,0% das células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UF </w:t>
      </w:r>
      <m:oMath>
        <m:r>
          <m:rPr>
            <m:sty m:val="p"/>
          </m:rPr>
          <m:t>×</m:t>
        </m:r>
      </m:oMath>
      <w:r>
        <w:rPr>
          <w:rFonts w:ascii="Arial" w:hAnsi="Arial"/>
          <w:sz w:val="22"/>
        </w:rPr>
        <w:t xml:space="preserve"> escolaridade também (100,0% das observações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estão em células com os dois grupos) — a comparação não depende de extrapolar para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regiões da amostra onde só existe um dos grupos.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pesquisa.</w:t>
      </w:r>
    </w:p>
    <w:bookmarkEnd w:id="24"/>
    <w:bookmarkStart w:id="25" w:name="subsec:hlm"/>
    <w:p>
      <w:pPr>
        <w:pStyle w:val="Ttulo2"/>
        <w:spacing w:line="360" w:lineRule="auto" w:before="280" w:after="280"/>
        <w:ind w:firstLine="709"/>
        <w:jc w:val="left"/>
      </w:pPr>
      <w:r>
        <w:rPr>
          <w:rFonts w:ascii="Arial" w:hAnsi="Arial"/>
          <w:b/>
          <w:sz w:val="22"/>
        </w:rPr>
        <w:t xml:space="preserve">Modelo Linear Hierárquico: indivíduos em bairros (UPA), com efeitos fixos de UF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PNAD Contínua é amostrada por conglomerados: pessoas dentro de unidades primárias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amostragem (UPA, o proxy de bairro), dentro de estados. A hipótese substantiva 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trabalho (H2) é que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bairro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media parte do gap racial; o modelo, portanto, coloca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UPA no nível 2 e trata a UF como conjunto de efeitos fixos — 27 unidades são poucas para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um terceiro nível aleatório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(Angrist; Pischke, 2009)</w:t>
      </w:r>
      <w:r>
        <w:rPr>
          <w:rFonts w:ascii="Arial" w:hAnsi="Arial"/>
          <w:sz w:val="22"/>
        </w:rPr>
        <w:t xml:space="preserve">, e os 26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dummies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absorvem todo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contexto estadual sem hipóteses distribucionais. O modelo de dois níveis é: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Nível 1 — indivíduo</w:t>
      </w:r>
      <w:r>
        <w:rPr>
          <w:rFonts w:ascii="Arial" w:hAnsi="Arial"/>
          <w:b/>
          <w:bCs/>
          <w:sz w:val="22"/>
        </w:rPr>
        <w:t xml:space="preserve"> </w:t>
      </w:r>
      <m:oMath>
        <m:r>
          <m:t>i</m:t>
        </m:r>
      </m:oMath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na UPA</w:t>
      </w:r>
      <w:r>
        <w:rPr>
          <w:rFonts w:ascii="Arial" w:hAnsi="Arial"/>
          <w:b/>
          <w:bCs/>
          <w:sz w:val="22"/>
        </w:rPr>
        <w:t xml:space="preserve"> </w:t>
      </w:r>
      <m:oMath>
        <m:r>
          <m:t>j</m:t>
        </m:r>
      </m:oMath>
      <w:r>
        <w:rPr>
          <w:rFonts w:ascii="Arial" w:hAnsi="Arial"/>
          <w:b/>
          <w:bCs/>
          <w:sz w:val="22"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W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sSub>
            <m:e>
              <m:r>
                <m:rPr>
                  <m:nor/>
                  <m:sty m:val="p"/>
                </m:rPr>
                <m:t>Negro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 </m:t>
          </m:r>
          <m:sSub>
            <m:e>
              <m:r>
                <m:rPr>
                  <m:nor/>
                  <m:sty m:val="p"/>
                </m:rPr>
                <m:t>Sexo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t> </m:t>
          </m:r>
          <m:sSubSup>
            <m:e>
              <m:r>
                <m:t>X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e</m:t>
              </m:r>
            </m:sub>
            <m:sup>
              <m:r>
                <m:t>​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e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nor/>
                  <m:sty m:val="p"/>
                </m:rPr>
                <m:t>Educ</m:t>
              </m:r>
            </m:e>
            <m:sub>
              <m:r>
                <m:t>e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β</m:t>
              </m:r>
            </m:e>
            <m:sub>
              <m:r>
                <m:t>5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sSub>
            <m:e>
              <m:r>
                <m:rPr>
                  <m:sty m:val="bi"/>
                </m:rP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∼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(1)</m:t>
          </m:r>
        </m:oMath>
      </m:oMathPara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em que</w:t>
      </w:r>
      <w:r>
        <w:rPr>
          <w:rFonts w:ascii="Arial" w:hAnsi="Arial"/>
          <w:sz w:val="22"/>
        </w:rPr>
        <w:t xml:space="preserve"> </w:t>
      </w:r>
      <m:oMath>
        <m:r>
          <m:rPr>
            <m:sty m:val="bi"/>
          </m:rPr>
          <m:t>Z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reúne horas, situação urbana e ano (e, no M4, vínculo e grupo CBO).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Nível 2 — bairro</w:t>
      </w:r>
      <w:r>
        <w:rPr>
          <w:rFonts w:ascii="Arial" w:hAnsi="Arial"/>
          <w:b/>
          <w:bCs/>
          <w:sz w:val="22"/>
        </w:rPr>
        <w:t xml:space="preserve"> </w:t>
      </w:r>
      <m:oMath>
        <m:r>
          <m:t>j</m:t>
        </m:r>
      </m:oMath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(UPA):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0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γ</m:t>
              </m:r>
            </m:e>
            <m:sub>
              <m:r>
                <m:t>00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01</m:t>
              </m:r>
            </m:sub>
          </m:sSub>
          <m:r>
            <m:t> </m:t>
          </m:r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%</m:t>
                  </m:r>
                  <m:r>
                    <m:rPr>
                      <m:nor/>
                      <m:sty m:val="p"/>
                    </m:rPr>
                    <m:t>Negro</m:t>
                  </m:r>
                </m:e>
              </m:ba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02</m:t>
              </m:r>
            </m:sub>
          </m:sSub>
          <m:r>
            <m:t> </m:t>
          </m:r>
          <m:sSub>
            <m:e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Desemprego</m:t>
                  </m:r>
                </m:e>
              </m:ba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03</m:t>
              </m:r>
            </m:sub>
          </m:sSub>
          <m:r>
            <m:t> </m:t>
          </m:r>
          <m:sSub>
            <m:e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Educ</m:t>
                  </m:r>
                </m:e>
              </m:ba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27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nor/>
                  <m:sty m:val="p"/>
                </m:rPr>
                <m:t>UF</m:t>
              </m:r>
            </m:e>
            <m:sub>
              <m:r>
                <m:t>k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u</m:t>
              </m:r>
            </m:e>
            <m:sub>
              <m:r>
                <m:t>0</m:t>
              </m:r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0</m:t>
              </m:r>
              <m:r>
                <m:t>j</m:t>
              </m:r>
            </m:sub>
          </m:sSub>
          <m:r>
            <m:rPr>
              <m:sty m:val="p"/>
            </m:rPr>
            <m:t>∼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bSup>
            <m:e>
              <m:r>
                <m:t>τ</m:t>
              </m:r>
            </m:e>
            <m:sub>
              <m:r>
                <m:rPr>
                  <m:nor/>
                  <m:sty m:val="p"/>
                </m:rPr>
                <m:t>UPA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(2)</m:t>
          </m:r>
        </m:oMath>
      </m:oMathPara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O coeficiente</w:t>
      </w:r>
      <w:r>
        <w:rPr>
          <w:rFonts w:ascii="Arial" w:hAnsi="Arial"/>
          <w:sz w:val="22"/>
        </w:rPr>
        <w:t xml:space="preserve"> </w:t>
      </w:r>
      <m:oMath>
        <m:sSub>
          <m:e>
            <m:r>
              <m:t>γ</m:t>
            </m:r>
          </m:e>
          <m:sub>
            <m:r>
              <m:t>01</m:t>
            </m:r>
          </m:sub>
        </m:sSub>
        <m:r>
          <m:rPr>
            <m:sty m:val="p"/>
          </m:rPr>
          <m:t>&lt;</m:t>
        </m:r>
        <m:r>
          <m:t>0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a evidência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duplo disadvantage</w:t>
      </w:r>
      <w:r>
        <w:rPr>
          <w:rFonts w:ascii="Arial" w:hAnsi="Arial"/>
          <w:sz w:val="22"/>
        </w:rPr>
        <w:t xml:space="preserve">: morar 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bairros com maior concentração de negros reduz o rendimento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independentemente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raça individual. A correlação intraclasse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ρ</m:t>
              </m:r>
            </m:e>
            <m:sub>
              <m:r>
                <m:rPr>
                  <m:nor/>
                  <m:sty m:val="p"/>
                </m:rPr>
                <m:t>UPA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τ</m:t>
                  </m:r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  <m:sup>
                  <m:r>
                    <m:t>2</m:t>
                  </m:r>
                </m:sup>
              </m:sSubSup>
            </m:num>
            <m:den>
              <m:sSubSup>
                <m:e>
                  <m:r>
                    <m:t>τ</m:t>
                  </m:r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nor/>
              <m:sty m:val="p"/>
            </m:rPr>
            <m:t>(3)</m:t>
          </m:r>
        </m:oMath>
      </m:oMathPara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mede a fração da variância do log-rendimento que está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entre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bairros; valores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acima de 5% justificam o modelo multinível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(Raudenbush; Bryk, 2002)</w:t>
      </w:r>
      <w:r>
        <w:rPr>
          <w:rFonts w:ascii="Arial" w:hAnsi="Arial"/>
          <w:sz w:val="22"/>
        </w:rPr>
        <w:t xml:space="preserve">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Estratégia</w:t>
      </w:r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step-up</w:t>
      </w:r>
      <w:r>
        <w:rPr>
          <w:rFonts w:ascii="Arial" w:hAnsi="Arial"/>
          <w:b/>
          <w:bCs/>
          <w:sz w:val="22"/>
        </w:rPr>
        <w:t xml:space="preserve">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Seguindo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Raudenbush; Bryk (2002)</w:t>
      </w:r>
      <w:r>
        <w:rPr>
          <w:rFonts w:ascii="Arial" w:hAnsi="Arial"/>
          <w:sz w:val="22"/>
        </w:rPr>
        <w:t xml:space="preserve">, os modelos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são estimados em degraus aninhados: M0 (nulo: só o intercepto aleatório, que dá o ICC);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M1 (+ capital humano e demografia); M2 (+ contexto do bairro, nível 2); M3 (+ efeitos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fixos de UF) — o modelo principal, que produz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gap líquido</w:t>
      </w:r>
      <w:r>
        <w:rPr>
          <w:rFonts w:ascii="Arial" w:hAnsi="Arial"/>
          <w:sz w:val="22"/>
        </w:rPr>
        <w:t xml:space="preserve">; e M4 (+ vínculo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 grupo ocupacional), reportado como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limite inferior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porque ocupação e formalidade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são desfechos da própria discriminação (</w:t>
      </w:r>
      <w:r>
        <w:rPr>
          <w:rFonts w:ascii="Arial" w:hAnsi="Arial"/>
          <w:sz w:val="22"/>
        </w:rPr>
        <w:t xml:space="preserve">bad controls</w:t>
      </w:r>
      <w:r>
        <w:rPr>
          <w:rFonts w:ascii="Arial" w:hAnsi="Arial"/>
          <w:sz w:val="22"/>
        </w:rPr>
        <w:t xml:space="preserve">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Angrist; Pischke (2009)</w:t>
      </w:r>
      <w:r>
        <w:rPr>
          <w:rFonts w:ascii="Arial" w:hAnsi="Arial"/>
          <w:sz w:val="22"/>
        </w:rPr>
        <w:t xml:space="preserve">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Cada degrau é comparado ao anterior por teste de razão de verossimilhança (LR), e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redução de</w:t>
      </w:r>
      <w:r>
        <w:rPr>
          <w:rFonts w:ascii="Arial" w:hAnsi="Arial"/>
          <w:sz w:val="22"/>
        </w:rPr>
        <w:t xml:space="preserve"> </w:t>
      </w:r>
      <m:oMath>
        <m:sSubSup>
          <m:e>
            <m:r>
              <m:t>τ</m:t>
            </m:r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relação ao M0 mede a variância entre bairros explicada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pelos controles. Testa-se ainda uma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inclinação aleatória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</w:t>
      </w:r>
      <w:r>
        <w:rPr>
          <w:rFonts w:ascii="Arial" w:hAnsi="Arial"/>
          <w:sz w:val="22"/>
        </w:rPr>
        <w:t xml:space="preserve"> </w:t>
      </w:r>
      <w:r>
        <w:rPr>
          <w:rStyle w:val="VerbatimChar"/>
          <w:rFonts w:ascii="Arial" w:hAnsi="Arial"/>
          <w:sz w:val="22"/>
        </w:rPr>
        <w:t xml:space="preserve">negro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 UPA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(M3 +</w:t>
      </w:r>
      <w:r>
        <w:rPr>
          <w:rFonts w:ascii="Arial" w:hAnsi="Arial"/>
          <w:sz w:val="22"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  <m:r>
              <m:t>j</m:t>
            </m:r>
          </m:sub>
        </m:sSub>
        <m:sSub>
          <m:e>
            <m:r>
              <m:rPr>
                <m:nor/>
                <m:sty m:val="p"/>
              </m:rPr>
              <m:t>Negro</m:t>
            </m:r>
          </m:e>
          <m:sub>
            <m:r>
              <m:t>i</m:t>
            </m:r>
            <m:r>
              <m:t>j</m:t>
            </m:r>
          </m:sub>
        </m:sSub>
      </m:oMath>
      <w:r>
        <w:rPr>
          <w:rFonts w:ascii="Arial" w:hAnsi="Arial"/>
          <w:sz w:val="22"/>
        </w:rPr>
        <w:t xml:space="preserve">, com covariância não estruturada) — a penalidade racial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varia entre bairros? — por LR com dois graus de liberdade. Todos os modelos são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estimados por máxima verossimilhança (ML), necessária para comparar efeitos fixos entre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degraus; com</w:t>
      </w:r>
      <w:r>
        <w:rPr>
          <w:rFonts w:ascii="Arial" w:hAnsi="Arial"/>
          <w:sz w:val="22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7</m:t>
        </m:r>
      </m:oMath>
      <w:r>
        <w:rPr>
          <w:rFonts w:ascii="Arial" w:hAnsi="Arial"/>
          <w:sz w:val="22"/>
        </w:rPr>
        <w:t xml:space="preserve"> milhões, REML e ML produzem os mesmos componentes de variância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(no M0,</w:t>
      </w:r>
      <w:r>
        <w:rPr>
          <w:rFonts w:ascii="Arial" w:hAnsi="Arial"/>
          <w:sz w:val="22"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33698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 ML e 0,33699 por REML;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ICC idêntico até a quarta casa). A</w:t>
      </w:r>
    </w:p>
    <w:bookmarkEnd w:id="25"/>
    <w:bookmarkStart w:id="26" w:name="subsec:oaxaca_metodo"/>
    <w:p>
      <w:pPr>
        <w:pStyle w:val="Ttulo2"/>
        <w:spacing w:line="360" w:lineRule="auto" w:before="280" w:after="280"/>
        <w:ind w:firstLine="709"/>
        <w:jc w:val="left"/>
      </w:pPr>
      <w:r>
        <w:rPr>
          <w:rFonts w:ascii="Arial" w:hAnsi="Arial"/>
          <w:b/>
          <w:sz w:val="22"/>
        </w:rPr>
        <w:t xml:space="preserve">Decomposição de Oaxaca–Blinder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Estimam-se equações de rendimento separadas para brancos e negros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decompõe-se a diferença de médias na forma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twofold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(Blinder, 1973; Oaxaca, 1973)</w:t>
      </w:r>
      <w:r>
        <w:rPr>
          <w:rFonts w:ascii="Arial" w:hAnsi="Arial"/>
          <w:sz w:val="22"/>
        </w:rPr>
        <w:t xml:space="preserve">, tomando a estrutura de preços dos brancos como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referência não discriminatória: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ln</m:t>
        </m:r>
        <m:sSub>
          <m:e>
            <m:acc>
              <m:accPr>
                <m:chr m:val="‾"/>
              </m:accPr>
              <m:e>
                <m:r>
                  <m:t>W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‾"/>
              </m:accPr>
              <m:e>
                <m:r>
                  <m:t>W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+</m:t>
        </m:r>
        <m:sSub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rPr>
          <w:rFonts w:ascii="Arial" w:hAnsi="Arial"/>
          <w:sz w:val="22"/>
        </w:rPr>
        <w:t xml:space="preserve">, em que o primeiro termo é a parcela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dotações e o segundo, a de retornos. Duas especificações são reportadas: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(A) apenas capital humano e contexto de bairro, comparável à literatura;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(B) acrescentando horas, formalidade e grupo ocupacional como dotações. Como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adverte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Oaxaca; Ransom (1999)</w:t>
      </w:r>
      <w:r>
        <w:rPr>
          <w:rFonts w:ascii="Arial" w:hAnsi="Arial"/>
          <w:sz w:val="22"/>
        </w:rPr>
        <w:t xml:space="preserve">, a especificação (B) subestima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discriminação total, porque a segregação ocupacional é ela própria seu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produto — por isso ela é lida como limite inferior, e não como a estimativa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preferida. Os erros-padrão vêm de bootstrap em blocos de UPA, e não da fórmula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analítica, que pressupõe independência entre observações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(Cameron; Gelbach; Miller, 2008)</w:t>
      </w:r>
      <w:r>
        <w:rPr>
          <w:rFonts w:ascii="Arial" w:hAnsi="Arial"/>
          <w:sz w:val="22"/>
        </w:rPr>
        <w:t xml:space="preserve">.</w:t>
      </w:r>
    </w:p>
    <w:bookmarkEnd w:id="26"/>
    <w:bookmarkStart w:id="27" w:name="regressão-quantílica-e-decomposição-rif"/>
    <w:p>
      <w:pPr>
        <w:pStyle w:val="Ttulo2"/>
        <w:spacing w:line="360" w:lineRule="auto" w:before="280" w:after="280"/>
        <w:ind w:firstLine="709"/>
        <w:jc w:val="left"/>
      </w:pPr>
      <w:r>
        <w:rPr>
          <w:rFonts w:ascii="Arial" w:hAnsi="Arial"/>
          <w:b/>
          <w:sz w:val="22"/>
        </w:rPr>
        <w:t xml:space="preserve">Regressão quantílica e decomposição RIF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regressão quantílica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(Koenker; Bassett, 1978)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estima</w:t>
      </w:r>
      <w:r>
        <w:rPr>
          <w:rFonts w:ascii="Arial" w:hAnsi="Arial"/>
          <w:sz w:val="22"/>
        </w:rP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cinco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pontos da distribuição condicional (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25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75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90</m:t>
        </m:r>
        <m:r>
          <m:rPr>
            <m:sty m:val="p"/>
          </m:rPr>
          <m:t>}</m:t>
        </m:r>
      </m:oMath>
      <w:r>
        <w:rPr>
          <w:rFonts w:ascii="Arial" w:hAnsi="Arial"/>
          <w:sz w:val="22"/>
        </w:rPr>
        <w:t xml:space="preserve">), permitindo testar se a penalidade racial é constante ao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longo da distribuição. O teste de igualdade entre os quantis extremos usa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bootstrap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m-out-of-n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blocos de UPA, com reescala</w:t>
      </w:r>
      <w:r>
        <w:rPr>
          <w:rFonts w:ascii="Arial" w:hAnsi="Arial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m</m:t>
            </m:r>
            <m:r>
              <m:rPr>
                <m:sty m:val="p"/>
              </m:rPr>
              <m:t>/</m:t>
            </m:r>
            <m:r>
              <m:t>G</m:t>
            </m:r>
          </m:e>
        </m:rad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(Bickel; Sakov, 2008)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 necessária porque reamostrar todas as 40.969 UPAs a cada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réplica seria proibitivo com 7,7 milhões de observações.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Complementarmente, a decomposição RIF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(Firpo; Fortin; Lemieux, 2018)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aplicada aos quantis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incondicionais da distribuição de renda, separando dotações e retornos em cada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ponto.</w:t>
      </w:r>
    </w:p>
    <w:bookmarkEnd w:id="27"/>
    <w:bookmarkStart w:id="28" w:name="modelo-logístico-multinível-de-acesso"/>
    <w:p>
      <w:pPr>
        <w:pStyle w:val="Ttulo2"/>
        <w:spacing w:line="360" w:lineRule="auto" w:before="280" w:after="280"/>
        <w:ind w:firstLine="709"/>
        <w:jc w:val="left"/>
      </w:pPr>
      <w:r>
        <w:rPr>
          <w:rFonts w:ascii="Arial" w:hAnsi="Arial"/>
          <w:b/>
          <w:sz w:val="22"/>
        </w:rPr>
        <w:t xml:space="preserve">Modelo logístico multinível de acesso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barreira de entrada é modelada por um GLMM logístico com intercepto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aleatório de UPA, estimado por</w:t>
      </w:r>
      <w:r>
        <w:rPr>
          <w:rFonts w:ascii="Arial" w:hAnsi="Arial"/>
          <w:sz w:val="22"/>
        </w:rPr>
        <w:t xml:space="preserve"> </w:t>
      </w:r>
      <w:r>
        <w:rPr>
          <w:rStyle w:val="VerbatimChar"/>
          <w:rFonts w:ascii="Arial" w:hAnsi="Arial"/>
          <w:sz w:val="22"/>
        </w:rPr>
        <w:t xml:space="preserve">lme4::glmer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R, para três desfechos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binários: ocupar cargo qualificado (grupos CBO 1–4), estar no quintil superior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 estar no decil superior da renda. A estrutura multinível é a mesma do HLM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(Raudenbush; Bryk, 2002)</w:t>
      </w:r>
      <w:r>
        <w:rPr>
          <w:rFonts w:ascii="Arial" w:hAnsi="Arial"/>
          <w:sz w:val="22"/>
        </w:rPr>
        <w:t xml:space="preserve">, agora com função de ligação logit; o ICC do nível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bairro é calculado por</w:t>
      </w:r>
      <w:r>
        <w:rPr>
          <w:rFonts w:ascii="Arial" w:hAnsi="Arial"/>
          <w:sz w:val="22"/>
        </w:rPr>
        <w:t xml:space="preserve"> </w:t>
      </w:r>
      <m:oMath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rPr>
          <w:rFonts w:ascii="Arial" w:hAnsi="Arial"/>
          <w:sz w:val="22"/>
        </w:rPr>
        <w:t xml:space="preserve">, a formulação de variância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latente apropriada ao modelo logístico. Além da razão de chances, reporta-se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efeito marginal médio em pontos percentuais, porque a razão de chances não 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interpretável como diferença de probabilidade.</w:t>
      </w:r>
    </w:p>
    <w:bookmarkEnd w:id="28"/>
    <w:bookmarkStart w:id="29" w:name="sensibilidade-a-variáveis-omitidas"/>
    <w:p>
      <w:pPr>
        <w:pStyle w:val="Ttulo2"/>
        <w:spacing w:line="360" w:lineRule="auto" w:before="280" w:after="280"/>
        <w:ind w:firstLine="709"/>
        <w:jc w:val="left"/>
      </w:pPr>
      <w:r>
        <w:rPr>
          <w:rFonts w:ascii="Arial" w:hAnsi="Arial"/>
          <w:b/>
          <w:sz w:val="22"/>
        </w:rPr>
        <w:t xml:space="preserve">Sensibilidade a variáveis omitidas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hipótese de seleção em observáveis não é testável, mas é possível quantificar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quanto de confundimento não observado seria necessário para anular 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resultados. Reportam-se duas medidas: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E-value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(VanderWeele; Ding, 2017)</w:t>
      </w:r>
      <w:r>
        <w:rPr>
          <w:rFonts w:ascii="Arial" w:hAnsi="Arial"/>
          <w:sz w:val="22"/>
        </w:rPr>
        <w:t xml:space="preserve">, que é a associação mínima — em razão de chances —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que um confundidor precisaria ter simultaneamente com a raça e com o desfecho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para explicar o efeito observado; e o índice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Frank et al. (2013)</w:t>
      </w:r>
      <w:r>
        <w:rPr>
          <w:rFonts w:ascii="Arial" w:hAnsi="Arial"/>
          <w:sz w:val="22"/>
        </w:rPr>
        <w:t xml:space="preserve">,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expressa a fração da estimativa que precisaria ser viés para invalidar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inferência.</w:t>
      </w:r>
    </w:p>
    <w:bookmarkEnd w:id="29"/>
    <w:bookmarkStart w:id="30" w:name="subsec:inferencia"/>
    <w:p>
      <w:pPr>
        <w:pStyle w:val="Ttulo2"/>
        <w:spacing w:line="360" w:lineRule="auto" w:before="280" w:after="280"/>
        <w:ind w:firstLine="709"/>
        <w:jc w:val="left"/>
      </w:pPr>
      <w:r>
        <w:rPr>
          <w:rFonts w:ascii="Arial" w:hAnsi="Arial"/>
          <w:b/>
          <w:sz w:val="22"/>
        </w:rPr>
        <w:t xml:space="preserve">Inferência: erros-padrão agrupados, poucos clusters e pesos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PNAD Contínua é uma amostra por conglomerados: pessoas da mesma unidade primária de amostragem (UPA, proxy de bairro) compartilham choques não observados, e os regressores de contexto variam apenas no nível da UPA. Tratar as</w:t>
      </w:r>
      <w:r>
        <w:rPr>
          <w:rFonts w:ascii="Arial" w:hAnsi="Arial"/>
          <w:sz w:val="22"/>
        </w:rPr>
        <w:t xml:space="preserve"> </w:t>
      </w:r>
      <m:oMath>
        <m:r>
          <m:t>7</m:t>
        </m:r>
        <m:r>
          <m:rPr>
            <m:sty m:val="p"/>
          </m:rPr>
          <m:t>,</m:t>
        </m:r>
        <m:r>
          <m:t>7</m:t>
        </m:r>
      </m:oMath>
      <w:r>
        <w:rPr>
          <w:rFonts w:ascii="Arial" w:hAnsi="Arial"/>
          <w:sz w:val="22"/>
        </w:rPr>
        <w:t xml:space="preserve"> milhões de observações como independentes subestima os erros-padrão pelo fator de Moulton</w:t>
      </w:r>
      <w:r>
        <w:rPr>
          <w:rFonts w:ascii="Arial" w:hAnsi="Arial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acc>
              <m:accPr>
                <m:chr m:val="‾"/>
              </m:accPr>
              <m:e>
                <m:r>
                  <m:t>n</m:t>
                </m:r>
              </m:e>
            </m:acc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ρ</m:t>
            </m:r>
          </m:e>
        </m:rad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(Angrist; Pischke, 2009)</w:t>
      </w:r>
      <w:r>
        <w:rPr>
          <w:rFonts w:ascii="Arial" w:hAnsi="Arial"/>
          <w:sz w:val="22"/>
        </w:rPr>
        <w:t xml:space="preserve">. Por isso, todos os modelos de regressão (OLS com efeitos fixos de UF, decomposição de Oaxaca–Blinder, regressão quantílica e logit) reportam erros-padrão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agrupados por UPA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(41.517 clusters) — para a OB e a regressão quantílica, por bootstrap em blocos de UPA. O agrupamento por UF é mais conservador, mas com 27 clusters (</w:t>
      </w:r>
      <m:oMath>
        <m:r>
          <m:rPr>
            <m:sty m:val="p"/>
          </m:rPr>
          <m:t>&lt;</m:t>
        </m:r>
        <m:r>
          <m:t>42</m:t>
        </m:r>
      </m:oMath>
      <w:r>
        <w:rPr>
          <w:rFonts w:ascii="Arial" w:hAnsi="Arial"/>
          <w:sz w:val="22"/>
        </w:rPr>
        <w:t xml:space="preserve">) a inferência assintótica é pouco confiável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(Angrist; Pischke, 2009)</w:t>
      </w:r>
      <w:r>
        <w:rPr>
          <w:rFonts w:ascii="Arial" w:hAnsi="Arial"/>
          <w:sz w:val="22"/>
        </w:rPr>
        <w:t xml:space="preserve">; quando reportado, usa a distribuição</w:t>
      </w:r>
      <w:r>
        <w:rPr>
          <w:rFonts w:ascii="Arial" w:hAnsi="Arial"/>
          <w:sz w:val="22"/>
        </w:rPr>
        <w:t xml:space="preserve"> </w:t>
      </w:r>
      <m:oMath>
        <m:r>
          <m:t>t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</w:t>
      </w:r>
      <w:r>
        <w:rPr>
          <w:rFonts w:ascii="Arial" w:hAnsi="Arial"/>
          <w:sz w:val="22"/>
        </w:rP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graus de liberdade. No HLM, o intercepto aleatório de UPA modela explicitamente a correlação intra-bairro, de modo que o erro-padrão do modelo já a incorpora (sob a hipótese de efeitos aleatórios); como contraprova, os coeficientes do HLM são comparados aos do OLS com efeitos fixos de UF e erro-padrão agrupado por UPA, que coincidem em sinal, magnitude e significância. No OLS com efeitos fixos de UF (especificação do M3), o erro-padrão de</w:t>
      </w:r>
      <w:r>
        <w:rPr>
          <w:rFonts w:ascii="Arial" w:hAnsi="Arial"/>
          <w:sz w:val="22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passa de 0,0006 (convencional) para 0,0011 (agrupado por UPA) e 0,0035 (agrupado por UF); para o regressor de contexto</w:t>
      </w:r>
      <w:r>
        <w:rPr>
          <w:rFonts w:ascii="Arial" w:hAnsi="Arial"/>
          <w:sz w:val="22"/>
        </w:rPr>
        <w:t xml:space="preserve"> </w:t>
      </w:r>
      <m:oMath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%</m:t>
                </m:r>
                <m:r>
                  <m:rPr>
                    <m:nor/>
                    <m:sty m:val="p"/>
                  </m:rPr>
                  <m:t>Negro</m:t>
                </m:r>
              </m:e>
            </m:bar>
          </m:e>
          <m:sub>
            <m:r>
              <m:rPr>
                <m:nor/>
                <m:sty m:val="p"/>
              </m:rPr>
              <m:t>UPA</m:t>
            </m:r>
          </m:sub>
        </m:sSub>
      </m:oMath>
      <w:r>
        <w:rPr>
          <w:rFonts w:ascii="Arial" w:hAnsi="Arial"/>
          <w:sz w:val="22"/>
        </w:rPr>
        <w:t xml:space="preserve">, que varia apenas no nível da UPA, a razão é de 7,3</w:t>
      </w:r>
      <m:oMath>
        <m:r>
          <m:rPr>
            <m:sty m:val="p"/>
          </m:rPr>
          <m:t>×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(UPA) e 51,9</w:t>
      </w:r>
      <m:oMath>
        <m:r>
          <m:rPr>
            <m:sty m:val="p"/>
          </m:rPr>
          <m:t>×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(UF) — a assinatura do efeito Moulton. Como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nor/>
            <m:sty m:val="p"/>
          </m:rPr>
          <m:t>SE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permanece acima de 29 mesmo no agrupamento mais conservador, nenhuma conclusão sobre o gap racial depende da escolha do erro-padrão; a correção importa para os coeficientes contextuais e para as variáveis de UF.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Pesos amostrais.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Os modelos são estimados sem o peso amostral da PNAD (V1028), isto é, descrevem a regressão na amostra, não a regressão populacional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(Angrist; Pischke, 2009)</w:t>
      </w:r>
      <w:r>
        <w:rPr>
          <w:rFonts w:ascii="Arial" w:hAnsi="Arial"/>
          <w:sz w:val="22"/>
        </w:rPr>
        <w:t xml:space="preserve">. Como robustez, o M3 foi reestimado por mínimos quadrados ponderados com V1028 e erro-padrão agrupado por UPA:</w:t>
      </w:r>
      <w:r>
        <w:rPr>
          <w:rFonts w:ascii="Arial" w:hAnsi="Arial"/>
          <w:sz w:val="22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passa de -0,1009 para -0,0967 (gap de 9,6% para 9,2%), diferença sem relevância econômica; os demais resultados são não ponderados.</w:t>
      </w:r>
    </w:p>
    <w:bookmarkEnd w:id="30"/>
    <w:bookmarkStart w:id="31" w:name="random-forest-xgboost-e-shap-values"/>
    <w:p>
      <w:pPr>
        <w:pStyle w:val="Ttulo2"/>
        <w:spacing w:line="360" w:lineRule="auto" w:before="280" w:after="280"/>
        <w:ind w:firstLine="709"/>
        <w:jc w:val="left"/>
      </w:pPr>
      <w:r>
        <w:rPr>
          <w:rFonts w:ascii="Arial" w:hAnsi="Arial"/>
          <w:b/>
          <w:sz w:val="22"/>
        </w:rPr>
        <w:t xml:space="preserve">Random Forest, XGBoost e SHAP Values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Para predição do log-rendimento, foram ajustados dois modelos de ensemble: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(i) </w:t>
      </w:r>
      <w:r>
        <w:rPr>
          <w:rFonts w:ascii="Arial" w:hAnsi="Arial"/>
          <w:sz w:val="22"/>
        </w:rPr>
        <w:t xml:space="preserve">Random Forest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(Breiman, 2001)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 200 árvores e profundidade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máxima 10; e (ii) </w:t>
      </w:r>
      <w:r>
        <w:rPr>
          <w:rFonts w:ascii="Arial" w:hAnsi="Arial"/>
          <w:sz w:val="22"/>
        </w:rPr>
        <w:t xml:space="preserve">XGBoost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(Chen; Guestrin, 2016)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 300 iterações, taxa de aprendizado</w:t>
      </w:r>
      <w:r>
        <w:rPr>
          <w:rFonts w:ascii="Arial" w:hAnsi="Arial"/>
          <w:sz w:val="22"/>
        </w:rPr>
        <w:t xml:space="preserve"> </w:t>
      </w:r>
      <m:oMath>
        <m:r>
          <m:t>0</m:t>
        </m:r>
        <m:r>
          <m:rPr>
            <m:sty m:val="p"/>
          </m:rPr>
          <m:t>,</m:t>
        </m:r>
        <m:r>
          <m:t>05</m:t>
        </m:r>
      </m:oMath>
      <w:r>
        <w:rPr>
          <w:rFonts w:ascii="Arial" w:hAnsi="Arial"/>
          <w:sz w:val="22"/>
        </w:rPr>
        <w:t xml:space="preserve">, profundidade máxima 10 e regularização</w:t>
      </w:r>
      <w:r>
        <w:rPr>
          <w:rFonts w:ascii="Arial" w:hAnsi="Arial"/>
          <w:sz w:val="22"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Arial" w:hAnsi="Arial"/>
          <w:sz w:val="22"/>
        </w:rPr>
        <w:t xml:space="preserve">. A profundidade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foi escolhida por validação cruzada (Tabela 4), e não por conveniência;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os dois modelos usam o mesmo conjunto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features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 a mesma partição de teste. Sobre o modelo XGBoost,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foi aplicado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TreeExplainer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biblioteca SHAP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(Lundberg; Lee, 2017)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sobre um subsample de 50.000 observações para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calcular os valores de Shapley de cada feature.</w:t>
      </w:r>
    </w:p>
    <w:bookmarkEnd w:id="31"/>
    <w:bookmarkEnd w:id="32"/>
    <w:bookmarkStart w:id="90" w:name="resultados-e-discussão"/>
    <w:p>
      <w:pPr>
        <w:pStyle w:val="Heading1"/>
        <w:spacing w:line="360" w:lineRule="auto" w:before="280" w:after="280"/>
        <w:ind w:firstLine="0" w:left="0"/>
        <w:jc w:val="left"/>
      </w:pPr>
      <w:r>
        <w:rPr>
          <w:rFonts w:ascii="Arial" w:hAnsi="Arial"/>
          <w:b/>
          <w:sz w:val="22"/>
        </w:rPr>
        <w:t xml:space="preserve">Resultados e Discussão</w:t>
      </w:r>
    </w:p>
    <w:bookmarkStart w:id="39" w:name="subsec:hlm_resultados"/>
    <w:p>
      <w:pPr>
        <w:pStyle w:val="Ttulo2"/>
        <w:spacing w:line="360" w:lineRule="auto" w:before="280" w:after="280"/>
        <w:ind w:firstLine="709"/>
        <w:jc w:val="left"/>
      </w:pPr>
      <w:r>
        <w:rPr>
          <w:rFonts w:ascii="Arial" w:hAnsi="Arial"/>
          <w:b/>
          <w:sz w:val="22"/>
        </w:rPr>
        <w:t xml:space="preserve">Modelos Hierárquicos Lineares — Mediação Contextual do Gap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Esta seção documenta como o território amplifica o gap racial: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bairro de moradia não é apenas contexto — é parte do mecanismo de exclusão.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Tabela 2 apresenta os cinco degraus da estratégia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step-up</w:t>
      </w:r>
      <w:r>
        <w:rPr>
          <w:rFonts w:ascii="Arial" w:hAnsi="Arial"/>
          <w:sz w:val="22"/>
        </w:rPr>
        <w:t xml:space="preserve">, do modelo nulo (M0) ao modelo com ocupação (M4), todos com intercepto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aleatório por UPA e estimados por máxima verossimilhança sobre a população completa.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Nota: acompanhe a linha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Raça (negro)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esquerda para a direita —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cada coluna acrescenta um bloco de controles e o coeficiente se aproxima de zero; 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linhas de baixo dizem quanto da variância entre bairros cada bloco explica e se o degrau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melhora o ajuste (LR).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Quanto da renda é</w:t>
      </w:r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“bairro”</w:t>
      </w:r>
      <w:r>
        <w:rPr>
          <w:rFonts w:ascii="Arial" w:hAnsi="Arial"/>
          <w:b/>
          <w:bCs/>
          <w:sz w:val="22"/>
        </w:rPr>
        <w:t xml:space="preserve">: o modelo nulo.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M0 estima</w:t>
      </w:r>
      <w:r>
        <w:rPr>
          <w:rFonts w:ascii="Arial" w:hAnsi="Arial"/>
          <w:sz w:val="22"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3370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</w:t>
      </w:r>
      <w:r>
        <w:rPr>
          <w:rFonts w:ascii="Arial" w:hAnsi="Arial"/>
          <w:sz w:val="22"/>
        </w:rP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5759</m:t>
        </m:r>
      </m:oMath>
      <w:r>
        <w:rPr>
          <w:rFonts w:ascii="Arial" w:hAnsi="Arial"/>
          <w:sz w:val="22"/>
        </w:rPr>
        <w:t xml:space="preserve">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ou seja, ICC</w:t>
      </w:r>
      <m:oMath>
        <m:sSub>
          <m:e>
            <m:r>
              <m:t>​</m:t>
            </m:r>
          </m:e>
          <m:sub>
            <m:r>
              <m:rPr>
                <m:nor/>
                <m:sty m:val="p"/>
              </m:rPr>
              <m:t>UPA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369</m:t>
        </m:r>
      </m:oMath>
      <w:r>
        <w:rPr>
          <w:rFonts w:ascii="Arial" w:hAnsi="Arial"/>
          <w:sz w:val="22"/>
        </w:rPr>
        <w:t xml:space="preserve">: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36,9% da variância do</w:t>
      </w:r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log-rendimento está entre bairros</w:t>
      </w:r>
      <w:r>
        <w:rPr>
          <w:rFonts w:ascii="Arial" w:hAnsi="Arial"/>
          <w:sz w:val="22"/>
        </w:rPr>
        <w:t xml:space="preserve">, muito acima do limiar de 5%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Raudenbush; Bryk (2002)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 da parcela entre estados (cerca de 10%, no modelo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alternativo com UF aleatória usado como robustez). A estrutura aninhada não é um detalhe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técnico: ignorá-la trataria como independentes pessoas que compartilham o mesmo mercado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trabalho local.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Gap agregado</w:t>
      </w:r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vs.</w:t>
      </w:r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gap dentro do bairro (M1).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 escolaridade, idade, sexo, horas, situação urbana e ano, mas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nenhum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efeito de bairro (OLS com efeitos fixos de UF; ver a seção Inferência),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trabalhadores negros recebem 19,1% a menos que brancos comparáveis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2123</m:t>
        </m:r>
      </m:oMath>
      <w:r>
        <w:rPr>
          <w:rFonts w:ascii="Arial" w:hAnsi="Arial"/>
          <w:sz w:val="22"/>
        </w:rPr>
        <w:t xml:space="preserve">)</w:t>
      </w:r>
      <w:r>
        <w:rPr>
          <w:rStyle w:val="FootnoteReference"/>
          <w:rFonts w:ascii="Arial" w:hAnsi="Arial"/>
          <w:sz w:val="22"/>
        </w:rPr>
        <w:footnoteReference w:id="33"/>
      </w:r>
      <w:r>
        <w:rPr>
          <w:rFonts w:ascii="Arial" w:hAnsi="Arial"/>
          <w:sz w:val="22"/>
        </w:rPr>
        <w:t xml:space="preserve">. O M1 acrescenta o intercepto aleatório de UPA e passa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comparar negros e brancos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mesmo bairro</w:t>
      </w:r>
      <w:r>
        <w:rPr>
          <w:rFonts w:ascii="Arial" w:hAnsi="Arial"/>
          <w:sz w:val="22"/>
        </w:rPr>
        <w:t xml:space="preserve">:</w:t>
      </w:r>
      <w:r>
        <w:rPr>
          <w:rFonts w:ascii="Arial" w:hAnsi="Arial"/>
          <w:sz w:val="22"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1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1124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(IC 95%: [−0,1135; −0,1113]), ou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10,6% a menos</w:t>
      </w:r>
      <w:r>
        <w:rPr>
          <w:rFonts w:ascii="Arial" w:hAnsi="Arial"/>
          <w:sz w:val="22"/>
        </w:rPr>
        <w:t xml:space="preserve">. A diferença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entre os dois —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47,0% do gap agregado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 é a parcela do gap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racial que transita pela segregação residencial: negros e brancos com o mesmo capital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humano não moram nos mesmos bairros, e os bairros pagam diferente. Esse é o teste 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Hipótese H2. Os controles individuais explicam, além disso, 55,2% 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variância entre bairros do M0: parte do que parecia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“bairro”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composição de quem mora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nele.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O que faz de um bairro um bairro (M2).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As três covariáveis de nível 2 explicam 40,1% da variância entre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bairros que restava no M1 (</w:t>
      </w:r>
      <m:oMath>
        <m:s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p>
            <m:r>
              <m:t>2</m:t>
            </m:r>
          </m:sup>
        </m:sSup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0,1509 para 0,0903; LR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19.536, 3 g.l.,</w:t>
      </w:r>
      <w:r>
        <w:rPr>
          <w:rFonts w:ascii="Arial" w:hAnsi="Arial"/>
          <w:sz w:val="22"/>
        </w:rP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rPr>
          <w:rFonts w:ascii="Arial" w:hAnsi="Arial"/>
          <w:sz w:val="22"/>
        </w:rPr>
        <w:t xml:space="preserve">). O coeficiente de composição racial,</w:t>
      </w:r>
      <w:r>
        <w:rPr>
          <w:rFonts w:ascii="Arial" w:hAnsi="Arial"/>
          <w:sz w:val="22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γ</m:t>
                </m:r>
              </m:e>
            </m:acc>
          </m:e>
          <m:sub>
            <m:r>
              <m:t>01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2189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(SE 0,0017), indica que um desvio-padrão a mais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na proporção de negros da UPA reduz o log-rendimento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todos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os moradores 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0,22 pontos — da mesma ordem da penalidade individual — a evidência mais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direta 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duplo disadvantage</w:t>
      </w:r>
      <w:r>
        <w:rPr>
          <w:rFonts w:ascii="Arial" w:hAnsi="Arial"/>
          <w:sz w:val="22"/>
        </w:rPr>
        <w:t xml:space="preserve">. O coeficiente individual mal se move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2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1076</m:t>
        </m:r>
      </m:oMath>
      <w:r>
        <w:rPr>
          <w:rFonts w:ascii="Arial" w:hAnsi="Arial"/>
          <w:sz w:val="22"/>
        </w:rPr>
        <w:t xml:space="preserve">): dentro do bairro, a penalidade racial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não depende de quem são os vizinhos; o bairro opera pela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porta de entrada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(onde se consegue morar), não pelo salário de quem já está lá.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Gap líquido (M3).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 os efeitos fixos de UF,</w:t>
      </w:r>
      <w:r>
        <w:rPr>
          <w:rFonts w:ascii="Arial" w:hAnsi="Arial"/>
          <w:sz w:val="22"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3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1077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(IC 95%: [−0,1087; −0,1066]):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gap líquido de 10,2%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o diferencial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capital humano, contexto de bairro e estado não explicam — limite inferior 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discriminação direta sob seleção em observáveis. O ICC cai para 0,144 e 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controles explicam 78,9% da variância entre bairros do M0.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Dentro da mesma ocupação (M4).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Acrescentar vínculo e grupo CBO leva a</w:t>
      </w:r>
      <w:r>
        <w:rPr>
          <w:rFonts w:ascii="Arial" w:hAnsi="Arial"/>
          <w:sz w:val="22"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4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0724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(7,0%). A queda adicional — 16,6% do gap agregado — não 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“explicação”</w:t>
      </w:r>
      <w:r>
        <w:rPr>
          <w:rFonts w:ascii="Arial" w:hAnsi="Arial"/>
          <w:sz w:val="22"/>
        </w:rPr>
        <w:t xml:space="preserve">, 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canal</w:t>
      </w:r>
      <w:r>
        <w:rPr>
          <w:rFonts w:ascii="Arial" w:hAnsi="Arial"/>
          <w:sz w:val="22"/>
        </w:rPr>
        <w:t xml:space="preserve">: a ocupação é ela própria resultado da barreira de acesso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(ver a seção GLMM logístico), por isso o M4 é um limite inferior descritivo.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A penalidade varia entre bairros.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inclinação aleatória de</w:t>
      </w:r>
      <w:r>
        <w:rPr>
          <w:rFonts w:ascii="Arial" w:hAnsi="Arial"/>
          <w:sz w:val="22"/>
        </w:rPr>
        <w:t xml:space="preserve"> </w:t>
      </w:r>
      <w:r>
        <w:rPr>
          <w:rStyle w:val="VerbatimChar"/>
          <w:rFonts w:ascii="Arial" w:hAnsi="Arial"/>
          <w:sz w:val="22"/>
        </w:rPr>
        <w:t xml:space="preserve">negro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 UPA é significativa (LR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38.657,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2 g.l.,</w:t>
      </w:r>
      <w:r>
        <w:rPr>
          <w:rFonts w:ascii="Arial" w:hAnsi="Arial"/>
          <w:sz w:val="22"/>
        </w:rP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rPr>
          <w:rFonts w:ascii="Arial" w:hAnsi="Arial"/>
          <w:sz w:val="22"/>
        </w:rPr>
        <w:t xml:space="preserve">):</w:t>
      </w:r>
      <w:r>
        <w:rPr>
          <w:rFonts w:ascii="Arial" w:hAnsi="Arial"/>
          <w:sz w:val="22"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0293</m:t>
        </m:r>
      </m:oMath>
      <w:r>
        <w:rPr>
          <w:rFonts w:ascii="Arial" w:hAnsi="Arial"/>
          <w:sz w:val="22"/>
        </w:rPr>
        <w:t xml:space="preserve">, desvio-padrão de 0,171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log-pontos. Em bairros a um desvio-padrão da média a penalidade vai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−0,280 a 0,063 log-pontos — a discriminação salarial tem geografia, e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covariância intercepto–inclinação de −0,0245 indica que a penalidade 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maior nos bairros de renda-base mais alta. A Figura 1 contrasta os efeitos fixos de estado com os interceptos estimados para os bairros.</w:t>
      </w:r>
    </w:p>
    <w:bookmarkStart w:id="37" w:name="fig:hlm_blups"/>
    <w:p>
      <w:pPr>
        <w:pStyle w:val="CaptionedFigure"/>
      </w:pPr>
      <w:r>
        <w:rPr>
          <w:rFonts w:ascii="Arial" w:hAnsi="Arial"/>
          <w:sz w:val="22"/>
        </w:rPr>
        <w:drawing>
          <wp:inline>
            <wp:extent cx="5753100" cy="2573415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outputs/figures/hlm_efeitos_uf_blup_upa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5734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Figura 1. A variação entre bairros supera a variação entre estados. À esquerda, 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efeitos fixos de UF do M3 com IC 95% (referência: primeira UF); à direita,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distribuição dos interceptos aleatórios das UPAs (</w:t>
      </w:r>
      <m:oMath>
        <m:sSub>
          <m:e>
            <m:r>
              <m:t>u</m:t>
            </m:r>
          </m:e>
          <m:sub>
            <m:r>
              <m:t>0</m:t>
            </m:r>
            <m:r>
              <m:t>j</m:t>
            </m:r>
          </m:sub>
        </m:sSub>
      </m:oMath>
      <w:r>
        <w:rPr>
          <w:rFonts w:ascii="Arial" w:hAnsi="Arial"/>
          <w:sz w:val="22"/>
        </w:rPr>
        <w:t xml:space="preserve">, BLUPs do M3).</w:t>
      </w:r>
    </w:p>
    <w:bookmarkEnd w:id="37"/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Nota: como ler a Figura 1: cada ponto à esquerda é um estado;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largura do histograma à direita é o quanto a renda-base muda de um bairro para outro,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já descontados capital humano, contexto e estado.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Viés de variável omitida e sensibilidade.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coeficiente racial é uma associação condicional: pela fórmula do viés de variável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omitida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(Angrist; Pischke, 2009)</w:t>
      </w:r>
      <w:r>
        <w:rPr>
          <w:rFonts w:ascii="Arial" w:hAnsi="Arial"/>
          <w:sz w:val="22"/>
        </w:rPr>
        <w:t xml:space="preserve">, o coeficiente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“curto”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iguala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“longo”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mais o efeito 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omitido vezes sua relação com a raça. Qualidade da escola, habilidade não observada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redes de contato correlacionam-se negativamente com ser negro e positivamente com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renda: omiti-las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superestima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penalidade — o que faz do M3 um limite superior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para o efeito de tratamento diferencial condicional a essas características. Na direção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oposta, os controles que são desfechos (ocupação no M4)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subestimam</w:t>
      </w:r>
      <w:r>
        <w:rPr>
          <w:rFonts w:ascii="Arial" w:hAnsi="Arial"/>
          <w:sz w:val="22"/>
        </w:rPr>
        <w:t xml:space="preserve">. O gap líquido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deve ser lido entre esses dois limites. Para anular</w:t>
      </w:r>
      <w:r>
        <w:rPr>
          <w:rFonts w:ascii="Arial" w:hAnsi="Arial"/>
          <w:sz w:val="22"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3</m:t>
            </m:r>
          </m:sup>
        </m:sSubSup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seria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preciso um viés de 99,0% do coeficiente (Konfound,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Frank et al. (2013)</w:t>
      </w:r>
      <w:r>
        <w:rPr>
          <w:rFonts w:ascii="Arial" w:hAnsi="Arial"/>
          <w:sz w:val="22"/>
        </w:rPr>
        <w:t xml:space="preserve">), e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E-value do modelo de acesso (Tabela 10) exige um confundidor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associado à raça e ao desfecho com razão de risco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≥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 mais forte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qualquer covariável observada.</w:t>
      </w:r>
    </w:p>
    <w:bookmarkStart w:id="38" w:name="tab:hlm_resultados"/>
    <w:p>
      <w:pPr>
        <w:pStyle w:val="Tabl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Tabela 2. HLM de dois níveis (indivíduo em UPA) com efeitos fixos de UF — estratégia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step-up</w:t>
      </w:r>
      <w:r>
        <w:rPr>
          <w:rFonts w:ascii="Arial" w:hAnsi="Arial"/>
          <w:sz w:val="22"/>
        </w:rPr>
        <w:t xml:space="preserve">, PNAD Contínua 2016–2025, população completa (</w:t>
      </w:r>
      <m:oMath>
        <m:r>
          <m:t>N</m:t>
        </m:r>
        <m:r>
          <m:rPr>
            <m:sty m:val="p"/>
          </m:rPr>
          <m:t>=</m:t>
        </m:r>
        <m:r>
          <m:t>7.689</m:t>
        </m:r>
        <m:r>
          <m:t>.426</m:t>
        </m:r>
      </m:oMath>
      <w:r>
        <w:rPr>
          <w:rFonts w:ascii="Arial" w:hAnsi="Arial"/>
          <w:sz w:val="22"/>
        </w:rPr>
        <w:t xml:space="preserve">; 40.295 UPAs; 27 UFs). Coeficientes com erro-padrão do modelo entre parênteses (a correlação intra-UPA já está no efeito aleatório). Estimação por máxima verossimilhança (ML), para os testes LR entre degraus; REML coincide. Todos os coeficientes com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|</m:t>
        </m:r>
        <m:r>
          <m:t>t</m:t>
        </m:r>
        <m:r>
          <m:rPr>
            <m:sty m:val="p"/>
          </m:rPr>
          <m:t>|</m:t>
        </m:r>
        <m:r>
          <m:rPr>
            <m:sty m:val="p"/>
          </m:rPr>
          <m:t>&gt;</m:t>
        </m:r>
        <m:r>
          <m:t>10</m:t>
        </m:r>
      </m:oMath>
      <w:r>
        <w:rPr>
          <w:rFonts w:ascii="Arial" w:hAnsi="Arial"/>
          <w:sz w:val="22"/>
        </w:rPr>
        <w:t xml:space="preserve">; a inferência relevante está nos intervalos de confiança, não nos asteriscos (MHE, cap. 8).</w:t>
      </w:r>
    </w:p>
    <w:tbl>
      <w:tblPr>
        <w:tblStyle w:val="Table"/>
        <w:tblW w:type="auto" w:w="0"/>
        <w:tblLayout w:type="fixed"/>
        <w:tblLook w:firstRow="1" w:lastRow="0" w:firstColumn="0" w:lastColumn="0" w:noHBand="0" w:noVBand="0" w:val="0020"/>
        <w:tblCaption w:val="Tabela 2. HLM de dois níveis (indivíduo em UPA) com efeitos fixos de UF — estratégia step-up, PNAD Contínua 2016–2025, população completa (N = 7.689.426; 40.295 UPAs; 27 UFs). Coeficientes com erro-padrão do modelo entre parênteses (a correlação intra-UPA já está no efeito aleatório). Estimação por máxima verossimilhança (ML), para os testes LR entre degraus; REML coincide. Todos os coeficientes com |t| &gt; 10; a inferência relevante está nos intervalos de confiança, não nos asteriscos (MHE, cap. 8).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067"/>
        <w:gridCol w:w="494"/>
        <w:gridCol w:w="1550"/>
        <w:gridCol w:w="1653"/>
        <w:gridCol w:w="1653"/>
        <w:gridCol w:w="1653"/>
      </w:tblGrid>
      <w:tr>
        <w:trPr>
          <w:tblHeader w:val="on"/>
        </w:trPr>
        <w:tc>
          <w:tcPr>
            <w:tcW w:type="dxa" w:w="2067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Variável</w:t>
            </w:r>
          </w:p>
        </w:tc>
        <w:tc>
          <w:tcPr>
            <w:tcW w:type="dxa" w:w="494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M0</w:t>
            </w:r>
          </w:p>
        </w:tc>
        <w:tc>
          <w:tcPr>
            <w:tcW w:type="dxa" w:w="1550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M1</w:t>
            </w:r>
          </w:p>
        </w:tc>
        <w:tc>
          <w:tcPr>
            <w:tcW w:type="dxa" w:w="1653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M2</w:t>
            </w:r>
          </w:p>
        </w:tc>
        <w:tc>
          <w:tcPr>
            <w:tcW w:type="dxa" w:w="1653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M3</w:t>
            </w:r>
          </w:p>
        </w:tc>
        <w:tc>
          <w:tcPr>
            <w:tcW w:type="dxa" w:w="1653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M4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Intercepto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7,3022 (0,0029)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4,2579 (0,0051)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4,2885 (0,0046)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4,5538 (0,0116)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4,7525 (0,0093)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Raça (negro)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−0,1124 (0,0006)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−0,1076 (0,0006)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−0,1077 (0,0006)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−0,0724 (0,0005)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Sexo feminino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−0,1944 (0,0005)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−0,1945 (0,0005)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−0,1945 (0,0005)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−0,2190 (0,0005)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Idade (centrada)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0,0087 (2,1e-05)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0,0087 (2,1e-05)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0,0087 (2,1e-05)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0,0092 (1,9e-05)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Idade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−0,0005 (1,2e-06)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−0,0005 (1,2e-06)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−0,0005 (1,2e-06)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−0,0004 (1,1e-06)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Educ.: fundamental completo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−0,2007 (0,0038)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−0,2002 (0,0038)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−0,1986 (0,0038)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−0,1821 (0,0034)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Educ.: médio completo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−0,0537 (0,0027)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−0,0545 (0,0027)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−0,0547 (0,0027)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−0,0438 (0,0024)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Educ.: superior completo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0,0521 (0,0025)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0,0521 (0,0025)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0,0523 (0,0025)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0,0537 (0,0023)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Educ.: pós-graduação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−0,0034 (0,0036)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−0,0033 (0,0036)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−0,0030 (0,0036)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−0,0043 (0,0033)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Educ.: não registrada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0,4228 (0,0025)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0,4233 (0,0025)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0,4237 (0,0025)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0,2194 (0,0023)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log(horas)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0,6823 (0,0006)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0,6818 (0,0006)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0,6815 (0,0006)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0,5979 (0,0006)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Urbano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0,4348 (0,0045)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0,3771 (0,0036)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0,3347 (0,0033)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0,2026 (0,0026)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% negro na UPA (</w:t>
            </w:r>
            <m:oMath>
              <m:r>
                <m:t>z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)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−0,2189 (0,0017)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−0,2508 (0,0025)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−0,1812 (0,0020)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Desemprego na UPA (</w:t>
            </w:r>
            <m:oMath>
              <m:r>
                <m:t>z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)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−0,0542 (0,0016)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−0,0338 (0,0015)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−0,0275 (0,0012)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 média na UPA (</w:t>
            </w:r>
            <m:oMath>
              <m:r>
                <m:t>z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)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0,0055 (0,0013)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−0,0052 (0,0012)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0,0054 (0,0010)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Emprego formal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0,1776 (0,0006)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Conta própria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−0,1725 (0,0007)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Trab. doméstico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−0,1272 (0,0010)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dirigente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0,7777 (0,0013)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profissional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0,8720 (0,0010)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técnico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0,5009 (0,0010)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administrativo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0,2639 (0,0010)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serviços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0,1832 (0,0008)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agropecuária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0,0892 (0,0011)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operário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0,1976 (0,0009)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operador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0,2294 (0,0010)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FFAA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0,9199 (0,0024)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IC 95% de</w:t>
            </w:r>
            <w:r>
              <w:rPr>
                <w:rFonts w:ascii="Arial" w:hAnsi="Arial"/>
                <w:b w:val="0"/>
                <w:sz w:val="22"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negro</m:t>
                  </m:r>
                </m:sub>
              </m:sSub>
            </m:oMath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[−0,1135; −0,1113]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[−0,1087; −0,1065]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[−0,1087; −0,1066]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[−0,0734; −0,0714]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Gap (%)</w:t>
            </w:r>
            <w:r>
              <w:rPr>
                <w:rFonts w:ascii="Arial" w:hAnsi="Arial"/>
                <w:b w:val="0"/>
                <w:sz w:val="22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β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−10,6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−10,2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−10,2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−7,0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Efeitos fixos de UF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não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não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não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sim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sim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τ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(nível 2)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0,3370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0,1509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0,0903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0,0712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0,0430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(nível 1)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0,5759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0,4244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0,4244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0,4244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0,3440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ICC</w:t>
            </w:r>
            <m:oMath>
              <m:sSub>
                <m:e>
                  <m:r>
                    <m:t>​</m:t>
                  </m:r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</m:sSub>
            </m:oMath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0,369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0,262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0,175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0,144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0,111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m:oMath>
              <m:sSup>
                <m:e>
                  <m:r>
                    <m:t>τ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explicada vs. M0 (%)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55,2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73,2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78,9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87,2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LL (deviance)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17.751.140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15.384.825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15.365.289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15.356.451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13.729.450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AIC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17.751.146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15.384.871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15.365.341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15.356.555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13.729.578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BIC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17.751.187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15.385.190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15.365.702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15.357.275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13.730.465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LR vs. degrau anterior (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Arial" w:hAnsi="Arial"/>
                <w:b w:val="0"/>
                <w:sz w:val="22"/>
              </w:rPr>
              <w:t xml:space="preserve">, g.l.)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2.366.315 (20)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19.536 (3)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8.838 (26)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1.627.001 (12)</w:t>
            </w:r>
          </w:p>
        </w:tc>
      </w:tr>
      <w:tr>
        <w:tc>
          <w:tcPr>
            <w:tcW w:type="dxa" w:w="2067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left"/>
            </w:pPr>
            <m:oMath>
              <m:r>
                <m:t>p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do LR</w:t>
            </w:r>
          </w:p>
        </w:tc>
        <w:tc>
          <w:tcPr>
            <w:tcW w:type="dxa" w:w="494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  <w:tc>
          <w:tcPr>
            <w:tcW w:type="dxa" w:w="1653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  <w:tc>
          <w:tcPr>
            <w:tcW w:type="dxa" w:w="1653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  <w:tc>
          <w:tcPr>
            <w:tcW w:type="dxa" w:w="1653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</w:tr>
    </w:tbl>
    <w:bookmarkEnd w:id="38"/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i/>
          <w:iCs/>
          <w:sz w:val="22"/>
        </w:rPr>
        <w:t xml:space="preserve">Inclinação aleatória de</w:t>
      </w:r>
      <w:r>
        <w:rPr>
          <w:rFonts w:ascii="Arial" w:hAnsi="Arial"/>
          <w:i/>
          <w:iCs/>
          <w:sz w:val="22"/>
        </w:rPr>
        <w:t xml:space="preserve"> </w:t>
      </w:r>
      <w:r>
        <w:rPr>
          <w:rStyle w:val="VerbatimChar"/>
          <w:rFonts w:ascii="Arial" w:hAnsi="Arial"/>
          <w:i/>
          <w:iCs/>
          <w:sz w:val="22"/>
        </w:rPr>
        <w:t xml:space="preserve">negro</w:t>
      </w:r>
      <w:r>
        <w:rPr>
          <w:rFonts w:ascii="Arial" w:hAnsi="Arial"/>
          <w:i/>
          <w:iCs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por UPA (M3 +</w:t>
      </w:r>
      <w:r>
        <w:rPr>
          <w:rFonts w:ascii="Arial" w:hAnsi="Arial"/>
          <w:i/>
          <w:iCs/>
          <w:sz w:val="22"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  <m:r>
              <m:t>j</m:t>
            </m:r>
          </m:sub>
        </m:sSub>
      </m:oMath>
      <w:r>
        <w:rPr>
          <w:rFonts w:ascii="Arial" w:hAnsi="Arial"/>
          <w:i/>
          <w:iCs/>
          <w:sz w:val="22"/>
        </w:rPr>
        <w:t xml:space="preserve">):</w:t>
      </w:r>
      <w:r>
        <w:rPr>
          <w:rFonts w:ascii="Arial" w:hAnsi="Arial"/>
          <w:sz w:val="22"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0293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(DP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171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log-pontos), cov</w:t>
      </w:r>
      <m:oMath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0245</m:t>
        </m:r>
      </m:oMath>
      <w:r>
        <w:rPr>
          <w:rFonts w:ascii="Arial" w:hAnsi="Arial"/>
          <w:sz w:val="22"/>
        </w:rPr>
        <w:t xml:space="preserve">; LR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  <m:r>
          <m:t>38.657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(2 g.l.),</w:t>
      </w:r>
      <w:r>
        <w:rPr>
          <w:rFonts w:ascii="Arial" w:hAnsi="Arial"/>
          <w:sz w:val="22"/>
        </w:rP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rPr>
          <w:rFonts w:ascii="Arial" w:hAnsi="Arial"/>
          <w:sz w:val="22"/>
        </w:rPr>
        <w:t xml:space="preserve">: a penalidade racial varia entre bairros;</w:t>
      </w:r>
      <w:r>
        <w:rPr>
          <w:rFonts w:ascii="Arial" w:hAnsi="Arial"/>
          <w:sz w:val="22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médio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1085</m:t>
        </m:r>
      </m:oMath>
      <w:r>
        <w:rPr>
          <w:rFonts w:ascii="Arial" w:hAnsi="Arial"/>
          <w:sz w:val="22"/>
        </w:rPr>
        <w:t xml:space="preserve">.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pesquisa.</w:t>
      </w:r>
    </w:p>
    <w:bookmarkEnd w:id="39"/>
    <w:bookmarkStart w:id="52" w:name="subsec:ml"/>
    <w:p>
      <w:pPr>
        <w:pStyle w:val="Ttulo2"/>
        <w:spacing w:line="360" w:lineRule="auto" w:before="280" w:after="280"/>
        <w:ind w:firstLine="709"/>
        <w:jc w:val="left"/>
      </w:pPr>
      <w:r>
        <w:rPr>
          <w:rFonts w:ascii="Arial" w:hAnsi="Arial"/>
          <w:b/>
          <w:sz w:val="22"/>
        </w:rPr>
        <w:t xml:space="preserve">Modelos de Machine Learning e SHAP Values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Tabela 3 apresenta o desempenho preditivo dos dois modelos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sobre o conjunto de teste (</w:t>
      </w:r>
      <w:r>
        <w:rPr>
          <w:rFonts w:ascii="Arial" w:hAnsi="Arial"/>
          <w:sz w:val="22"/>
        </w:rPr>
        <w:t xml:space="preserve">hold-out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20%).</w:t>
      </w:r>
    </w:p>
    <w:bookmarkStart w:id="40" w:name="tab:ml_perf"/>
    <w:p>
      <w:pPr>
        <w:pStyle w:val="Tabl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Tabela 3. Desempenho preditivo — Random Forest, XGBoost e XGBoost sem renda de vizinhança (robustez ao problema do reflexo).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Hold-out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20% da população (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teste</m:t>
            </m:r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54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milhão).</w:t>
      </w:r>
    </w:p>
    <w:tbl>
      <w:tblPr>
        <w:tblStyle w:val="Table"/>
        <w:tblW w:type="auto" w:w="0"/>
        <w:tblLayout w:type="fixed"/>
        <w:tblLook w:firstRow="1" w:lastRow="0" w:firstColumn="0" w:lastColumn="0" w:noHBand="0" w:noVBand="0" w:val="0020"/>
        <w:tblCaption w:val="Tabela 3. Desempenho preditivo — Random Forest, XGBoost e XGBoost sem renda de vizinhança (robustez ao problema do reflexo). Hold-out 20% da população (N_\text{teste}\approx 1{,}54 milhão).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861"/>
        <w:gridCol w:w="919"/>
        <w:gridCol w:w="919"/>
        <w:gridCol w:w="919"/>
        <w:gridCol w:w="2452"/>
      </w:tblGrid>
      <w:tr>
        <w:trPr>
          <w:tblHeader w:val="on"/>
        </w:trPr>
        <w:tc>
          <w:tcPr>
            <w:tcW w:type="dxa" w:w="3861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Modelo</w:t>
            </w:r>
          </w:p>
        </w:tc>
        <w:tc>
          <w:tcPr>
            <w:tcW w:type="dxa" w:w="919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>
            <w:tcW w:type="dxa" w:w="919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MAE</w:t>
            </w:r>
          </w:p>
        </w:tc>
        <w:tc>
          <w:tcPr>
            <w:tcW w:type="dxa" w:w="919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RMSE</w:t>
            </w:r>
          </w:p>
        </w:tc>
        <w:tc>
          <w:tcPr>
            <w:tcW w:type="dxa" w:w="2452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Gap treino–teste</w:t>
            </w:r>
          </w:p>
        </w:tc>
      </w:tr>
      <w:tr>
        <w:tc>
          <w:tcPr>
            <w:tcW w:type="dxa" w:w="3861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Random Forest</w:t>
            </w:r>
          </w:p>
        </w:tc>
        <w:tc>
          <w:tcPr>
            <w:tcW w:type="dxa" w:w="91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0,5689</w:t>
            </w:r>
          </w:p>
        </w:tc>
        <w:tc>
          <w:tcPr>
            <w:tcW w:type="dxa" w:w="91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0,4557</w:t>
            </w:r>
          </w:p>
        </w:tc>
        <w:tc>
          <w:tcPr>
            <w:tcW w:type="dxa" w:w="91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0,6070</w:t>
            </w:r>
          </w:p>
        </w:tc>
        <w:tc>
          <w:tcPr>
            <w:tcW w:type="dxa" w:w="245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0,0015</w:t>
            </w:r>
          </w:p>
        </w:tc>
      </w:tr>
      <w:tr>
        <w:tc>
          <w:tcPr>
            <w:tcW w:type="dxa" w:w="3861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XGBoost</w:t>
            </w:r>
          </w:p>
        </w:tc>
        <w:tc>
          <w:tcPr>
            <w:tcW w:type="dxa" w:w="91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0,6280</w:t>
            </w:r>
          </w:p>
        </w:tc>
        <w:tc>
          <w:tcPr>
            <w:tcW w:type="dxa" w:w="91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0,4218</w:t>
            </w:r>
          </w:p>
        </w:tc>
        <w:tc>
          <w:tcPr>
            <w:tcW w:type="dxa" w:w="91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0,5639</w:t>
            </w:r>
          </w:p>
        </w:tc>
        <w:tc>
          <w:tcPr>
            <w:tcW w:type="dxa" w:w="245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0,0090</w:t>
            </w:r>
          </w:p>
        </w:tc>
      </w:tr>
      <w:tr>
        <w:tc>
          <w:tcPr>
            <w:tcW w:type="dxa" w:w="3861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XGBoost (sem renda da UPA)</w:t>
            </w:r>
          </w:p>
        </w:tc>
        <w:tc>
          <w:tcPr>
            <w:tcW w:type="dxa" w:w="919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0,5983</w:t>
            </w:r>
          </w:p>
        </w:tc>
        <w:tc>
          <w:tcPr>
            <w:tcW w:type="dxa" w:w="919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0,4402</w:t>
            </w:r>
          </w:p>
        </w:tc>
        <w:tc>
          <w:tcPr>
            <w:tcW w:type="dxa" w:w="919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0,5860</w:t>
            </w:r>
          </w:p>
        </w:tc>
        <w:tc>
          <w:tcPr>
            <w:tcW w:type="dxa" w:w="2452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0,0092</w:t>
            </w:r>
          </w:p>
        </w:tc>
      </w:tr>
    </w:tbl>
    <w:bookmarkEnd w:id="40"/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pesquisa.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Nota: como ler a Tabela 3: R</w:t>
      </w:r>
      <w:r>
        <w:rPr>
          <w:rFonts w:ascii="Arial" w:hAnsi="Arial"/>
          <w:sz w:val="22"/>
          <w:vertAlign w:val="superscript"/>
        </w:rPr>
        <w:t xml:space="preserve">2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mais alto = melhor previsão;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gap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treino–teste próximo de zero indica ausência de sobreajuste.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O</w:t>
      </w:r>
      <w:r>
        <w:rPr>
          <w:rFonts w:ascii="Arial" w:hAnsi="Arial"/>
          <w:sz w:val="22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teste de 0,62 (XGBoost) é elevado para dados de rendimento individual,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onde a variância não observada (setor, cargo, tempo de serviço) responde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pela maior parte do resíduo.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Escolha de hiperparâmetros e validação cruzada.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profundidade das árvores, a taxa de aprendizado e o número de iterações não foram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fixados por conveniência: seis configurações foram comparadas numa partição de validação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dentro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conjunto de treino — o teste permanece intocado —, e a vencedora foi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submetida a validação cruzada</w:t>
      </w:r>
      <w:r>
        <w:rPr>
          <w:rFonts w:ascii="Arial" w:hAnsi="Arial"/>
          <w:sz w:val="22"/>
        </w:rPr>
        <w:t xml:space="preserve"> </w:t>
      </w:r>
      <m:oMath>
        <m:r>
          <m:t>k</m:t>
        </m:r>
      </m:oMath>
      <w:r>
        <w:rPr>
          <w:rFonts w:ascii="Arial" w:hAnsi="Arial"/>
          <w:sz w:val="22"/>
        </w:rPr>
        <w:t xml:space="preserve">-</w:t>
      </w:r>
      <w:r>
        <w:rPr>
          <w:rFonts w:ascii="Arial" w:hAnsi="Arial"/>
          <w:sz w:val="22"/>
        </w:rPr>
        <w:t xml:space="preserve">fold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rPr>
          <w:rFonts w:ascii="Arial" w:hAnsi="Arial"/>
          <w:sz w:val="22"/>
        </w:rPr>
        <w:t xml:space="preserve">) no treino completo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(Tabela 4). A configuração escolhida (profundidade 10) alcança</w:t>
      </w:r>
      <w:r>
        <w:rPr>
          <w:rFonts w:ascii="Arial" w:hAnsi="Arial"/>
          <w:sz w:val="22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6281</m:t>
        </m:r>
        <m:r>
          <m:rPr>
            <m:sty m:val="p"/>
          </m:rPr>
          <m:t>±</m:t>
        </m:r>
        <m:r>
          <m:t>0</m:t>
        </m:r>
        <m:r>
          <m:rPr>
            <m:sty m:val="p"/>
          </m:rPr>
          <m:t>,</m:t>
        </m:r>
        <m:r>
          <m:t>0007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entre 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folds</w:t>
      </w:r>
      <w:r>
        <w:rPr>
          <w:rFonts w:ascii="Arial" w:hAnsi="Arial"/>
          <w:sz w:val="22"/>
        </w:rPr>
        <w:t xml:space="preserve">, contra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0,6143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±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0,0007 da profundidade 6 usada na versão anterior deste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trabalho, sem aumentar o sobreajuste. O desvio-padrão entre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folds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na quarta casa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decimal mostra que, com 6.155.355 observações de treino, o desempenho não depende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qual parte dos dados é usada para validar — a validação cruzada aqui serve menos para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estimar incerteza e mais para justificar a especificação.</w:t>
      </w:r>
    </w:p>
    <w:bookmarkStart w:id="41" w:name="tab:ml_cv"/>
    <w:p>
      <w:pPr>
        <w:pStyle w:val="Tabl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Tabela 4. Escolha de hiperparâmetros e validação cruzada do XGBoost (Alencar, 2024;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Géron, 2021). Painel A: seis configurações comparadas numa partição de validação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dentro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treino — o conjunto de teste permanece intocado. Painel B: validação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cruzada</w:t>
      </w:r>
      <w:r>
        <w:rPr>
          <w:rFonts w:ascii="Arial" w:hAnsi="Arial"/>
          <w:sz w:val="22"/>
        </w:rPr>
        <w:t xml:space="preserve"> </w:t>
      </w:r>
      <m:oMath>
        <m:r>
          <m:t>k</m:t>
        </m:r>
      </m:oMath>
      <w:r>
        <w:rPr>
          <w:rFonts w:ascii="Arial" w:hAnsi="Arial"/>
          <w:sz w:val="22"/>
        </w:rPr>
        <w:t xml:space="preserve">-</w:t>
      </w:r>
      <w:r>
        <w:rPr>
          <w:rFonts w:ascii="Arial" w:hAnsi="Arial"/>
          <w:i/>
          <w:iCs/>
          <w:sz w:val="22"/>
        </w:rPr>
        <w:t xml:space="preserve">fold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rPr>
          <w:rFonts w:ascii="Arial" w:hAnsi="Arial"/>
          <w:sz w:val="22"/>
        </w:rPr>
        <w:t xml:space="preserve">) no treino completo, com média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desvio-padrão entre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folds</w:t>
      </w:r>
      <w:r>
        <w:rPr>
          <w:rFonts w:ascii="Arial" w:hAnsi="Arial"/>
          <w:sz w:val="22"/>
        </w:rPr>
        <w:t xml:space="preserve">. População completa: 6.155.355 observações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treino e 1.538.839 de teste; nenhuma amostragem.</w:t>
      </w:r>
    </w:p>
    <w:tbl>
      <w:tblPr>
        <w:tblStyle w:val="Table"/>
        <w:tblW w:type="auto" w:w="0"/>
        <w:tblLayout w:type="fixed"/>
        <w:tblLook w:firstRow="1" w:lastRow="0" w:firstColumn="0" w:lastColumn="0" w:noHBand="0" w:noVBand="0" w:val="0020"/>
        <w:tblCaption w:val="Tabela 4. Escolha de hiperparâmetros e validação cruzada do XGBoost (Alencar, 2024; Géron, 2021). Painel A: seis configurações comparadas numa partição de validação dentro do treino — o conjunto de teste permanece intocado. Painel B: validação cruzada k-fold (k=5) no treino completo, com média e desvio-padrão entre folds. População completa: 6.155.355 observações de treino e 1.538.839 de teste; nenhuma amostragem.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675"/>
        <w:gridCol w:w="2651"/>
        <w:gridCol w:w="1535"/>
        <w:gridCol w:w="837"/>
        <w:gridCol w:w="837"/>
        <w:gridCol w:w="1535"/>
      </w:tblGrid>
      <w:tr>
        <w:trPr>
          <w:tblHeader w:val="on"/>
        </w:trPr>
        <w:tc>
          <w:tcPr>
            <w:tcW w:type="dxa" w:w="1535"/>
            <w:gridSpan w:val="6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A. Busca na partição de validação</w:t>
            </w:r>
          </w:p>
        </w:tc>
      </w:tr>
      <w:tr>
        <w:tc>
          <w:tcPr>
            <w:tcW w:type="dxa" w:w="1675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Profundidade</w:t>
            </w:r>
          </w:p>
        </w:tc>
        <w:tc>
          <w:tcPr>
            <w:tcW w:type="dxa" w:w="265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Taxa de aprendizado</w:t>
            </w:r>
          </w:p>
        </w:tc>
        <w:tc>
          <w:tcPr>
            <w:tcW w:type="dxa" w:w="1535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Árvores</w:t>
            </w:r>
          </w:p>
        </w:tc>
        <w:tc>
          <w:tcPr>
            <w:tcW w:type="dxa" w:w="837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>
            <w:tcW w:type="dxa" w:w="837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MAE</w:t>
            </w:r>
          </w:p>
        </w:tc>
        <w:tc>
          <w:tcPr>
            <w:tcW w:type="dxa" w:w="1535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Sobreajuste</w:t>
            </w:r>
          </w:p>
        </w:tc>
      </w:tr>
      <w:tr>
        <w:tc>
          <w:tcPr>
            <w:tcW w:type="dxa" w:w="1675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10</w:t>
            </w:r>
          </w:p>
        </w:tc>
        <w:tc>
          <w:tcPr>
            <w:tcW w:type="dxa" w:w="265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0,05</w:t>
            </w:r>
          </w:p>
        </w:tc>
        <w:tc>
          <w:tcPr>
            <w:tcW w:type="dxa" w:w="153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300</w:t>
            </w:r>
          </w:p>
        </w:tc>
        <w:tc>
          <w:tcPr>
            <w:tcW w:type="dxa" w:w="837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0,6279</w:t>
            </w:r>
          </w:p>
        </w:tc>
        <w:tc>
          <w:tcPr>
            <w:tcW w:type="dxa" w:w="837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0,4213</w:t>
            </w:r>
          </w:p>
        </w:tc>
        <w:tc>
          <w:tcPr>
            <w:tcW w:type="dxa" w:w="153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0,0112</w:t>
            </w:r>
          </w:p>
        </w:tc>
      </w:tr>
      <w:tr>
        <w:tc>
          <w:tcPr>
            <w:tcW w:type="dxa" w:w="1675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  <w:tc>
          <w:tcPr>
            <w:tcW w:type="dxa" w:w="265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0,05</w:t>
            </w:r>
          </w:p>
        </w:tc>
        <w:tc>
          <w:tcPr>
            <w:tcW w:type="dxa" w:w="153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600</w:t>
            </w:r>
          </w:p>
        </w:tc>
        <w:tc>
          <w:tcPr>
            <w:tcW w:type="dxa" w:w="837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0,6252</w:t>
            </w:r>
          </w:p>
        </w:tc>
        <w:tc>
          <w:tcPr>
            <w:tcW w:type="dxa" w:w="837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0,4229</w:t>
            </w:r>
          </w:p>
        </w:tc>
        <w:tc>
          <w:tcPr>
            <w:tcW w:type="dxa" w:w="153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0,0067</w:t>
            </w:r>
          </w:p>
        </w:tc>
      </w:tr>
      <w:tr>
        <w:tc>
          <w:tcPr>
            <w:tcW w:type="dxa" w:w="1675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  <w:tc>
          <w:tcPr>
            <w:tcW w:type="dxa" w:w="265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0,05</w:t>
            </w:r>
          </w:p>
        </w:tc>
        <w:tc>
          <w:tcPr>
            <w:tcW w:type="dxa" w:w="153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300</w:t>
            </w:r>
          </w:p>
        </w:tc>
        <w:tc>
          <w:tcPr>
            <w:tcW w:type="dxa" w:w="837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0,6207</w:t>
            </w:r>
          </w:p>
        </w:tc>
        <w:tc>
          <w:tcPr>
            <w:tcW w:type="dxa" w:w="837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0,4257</w:t>
            </w:r>
          </w:p>
        </w:tc>
        <w:tc>
          <w:tcPr>
            <w:tcW w:type="dxa" w:w="153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0,0040</w:t>
            </w:r>
          </w:p>
        </w:tc>
      </w:tr>
      <w:tr>
        <w:tc>
          <w:tcPr>
            <w:tcW w:type="dxa" w:w="1675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>
            <w:tcW w:type="dxa" w:w="265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0,10</w:t>
            </w:r>
          </w:p>
        </w:tc>
        <w:tc>
          <w:tcPr>
            <w:tcW w:type="dxa" w:w="153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300</w:t>
            </w:r>
          </w:p>
        </w:tc>
        <w:tc>
          <w:tcPr>
            <w:tcW w:type="dxa" w:w="837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0,6179</w:t>
            </w:r>
          </w:p>
        </w:tc>
        <w:tc>
          <w:tcPr>
            <w:tcW w:type="dxa" w:w="837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0,4275</w:t>
            </w:r>
          </w:p>
        </w:tc>
        <w:tc>
          <w:tcPr>
            <w:tcW w:type="dxa" w:w="153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0,0022</w:t>
            </w:r>
          </w:p>
        </w:tc>
      </w:tr>
      <w:tr>
        <w:tc>
          <w:tcPr>
            <w:tcW w:type="dxa" w:w="1675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>
            <w:tcW w:type="dxa" w:w="265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0,05</w:t>
            </w:r>
          </w:p>
        </w:tc>
        <w:tc>
          <w:tcPr>
            <w:tcW w:type="dxa" w:w="153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300 (atual)</w:t>
            </w:r>
          </w:p>
        </w:tc>
        <w:tc>
          <w:tcPr>
            <w:tcW w:type="dxa" w:w="837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0,6140</w:t>
            </w:r>
          </w:p>
        </w:tc>
        <w:tc>
          <w:tcPr>
            <w:tcW w:type="dxa" w:w="837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0,4300</w:t>
            </w:r>
          </w:p>
        </w:tc>
        <w:tc>
          <w:tcPr>
            <w:tcW w:type="dxa" w:w="153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0,0013</w:t>
            </w:r>
          </w:p>
        </w:tc>
      </w:tr>
      <w:tr>
        <w:tc>
          <w:tcPr>
            <w:tcW w:type="dxa" w:w="1675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  <w:tc>
          <w:tcPr>
            <w:tcW w:type="dxa" w:w="2651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0,05</w:t>
            </w:r>
          </w:p>
        </w:tc>
        <w:tc>
          <w:tcPr>
            <w:tcW w:type="dxa" w:w="1535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300</w:t>
            </w:r>
          </w:p>
        </w:tc>
        <w:tc>
          <w:tcPr>
            <w:tcW w:type="dxa" w:w="837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0,6030</w:t>
            </w:r>
          </w:p>
        </w:tc>
        <w:tc>
          <w:tcPr>
            <w:tcW w:type="dxa" w:w="837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0,4370</w:t>
            </w:r>
          </w:p>
        </w:tc>
        <w:tc>
          <w:tcPr>
            <w:tcW w:type="dxa" w:w="1535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0,0006</w:t>
            </w:r>
          </w:p>
        </w:tc>
      </w:tr>
    </w:tbl>
    <w:bookmarkEnd w:id="41"/>
    <w:bookmarkStart w:id="42" w:name="tab:ml_cv"/>
    <w:p>
      <w:pPr>
        <w:pStyle w:val="Tabl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Tabela 4. Escolha de hiperparâmetros e validação cruzada do XGBoost (Alencar, 2024;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Géron, 2021). Painel A: seis configurações comparadas numa partição de validação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dentro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treino — o conjunto de teste permanece intocado. Painel B: validação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cruzada</w:t>
      </w:r>
      <w:r>
        <w:rPr>
          <w:rFonts w:ascii="Arial" w:hAnsi="Arial"/>
          <w:sz w:val="22"/>
        </w:rPr>
        <w:t xml:space="preserve"> </w:t>
      </w:r>
      <m:oMath>
        <m:r>
          <m:t>k</m:t>
        </m:r>
      </m:oMath>
      <w:r>
        <w:rPr>
          <w:rFonts w:ascii="Arial" w:hAnsi="Arial"/>
          <w:sz w:val="22"/>
        </w:rPr>
        <w:t xml:space="preserve">-</w:t>
      </w:r>
      <w:r>
        <w:rPr>
          <w:rFonts w:ascii="Arial" w:hAnsi="Arial"/>
          <w:i/>
          <w:iCs/>
          <w:sz w:val="22"/>
        </w:rPr>
        <w:t xml:space="preserve">fold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rPr>
          <w:rFonts w:ascii="Arial" w:hAnsi="Arial"/>
          <w:sz w:val="22"/>
        </w:rPr>
        <w:t xml:space="preserve">) no treino completo, com média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desvio-padrão entre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folds</w:t>
      </w:r>
      <w:r>
        <w:rPr>
          <w:rFonts w:ascii="Arial" w:hAnsi="Arial"/>
          <w:sz w:val="22"/>
        </w:rPr>
        <w:t xml:space="preserve">. População completa: 6.155.355 observações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treino e 1.538.839 de teste; nenhuma amostragem.</w:t>
      </w:r>
    </w:p>
    <w:tbl>
      <w:tblPr>
        <w:tblStyle w:val="Table"/>
        <w:tblW w:type="auto" w:w="0"/>
        <w:tblLayout w:type="fixed"/>
        <w:tblLook w:firstRow="1" w:lastRow="0" w:firstColumn="0" w:lastColumn="0" w:noHBand="0" w:noVBand="0" w:val="0020"/>
        <w:tblCaption w:val="Tabela 4. Escolha de hiperparâmetros e validação cruzada do XGBoost (Alencar, 2024; Géron, 2021). Painel A: seis configurações comparadas numa partição de validação dentro do treino — o conjunto de teste permanece intocado. Painel B: validação cruzada k-fold (k=5) no treino completo, com média e desvio-padrão entre folds. População completa: 6.155.355 observações de treino e 1.538.839 de teste; nenhuma amostragem.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268"/>
        <w:gridCol w:w="2268"/>
        <w:gridCol w:w="2268"/>
        <w:gridCol w:w="2268"/>
      </w:tblGrid>
      <w:tr>
        <w:trPr>
          <w:tblHeader w:val="on"/>
        </w:trPr>
        <w:tc>
          <w:tcPr>
            <w:tcW w:type="dxa" w:w="2268"/>
            <w:gridSpan w:val="4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B. Validação cruzada no treino (5</w:t>
            </w:r>
            <w:r>
              <w:rPr>
                <w:rFonts w:ascii="Arial" w:hAnsi="Arial"/>
                <w:b w:val="0"/>
                <w:bCs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bCs/>
                <w:i/>
                <w:iCs/>
                <w:sz w:val="22"/>
              </w:rPr>
              <w:t xml:space="preserve">folds</w:t>
            </w:r>
            <w:r>
              <w:rPr>
                <w:rFonts w:ascii="Arial" w:hAnsi="Arial"/>
                <w:b w:val="0"/>
                <w:bCs/>
                <w:sz w:val="22"/>
              </w:rPr>
              <w:t xml:space="preserve">)</w:t>
            </w:r>
          </w:p>
        </w:tc>
      </w:tr>
      <w:tr>
        <w:tc>
          <w:tcPr>
            <w:tcW w:type="dxa" w:w="2268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Configuração</w:t>
            </w:r>
          </w:p>
        </w:tc>
        <w:tc>
          <w:tcPr>
            <w:tcW w:type="dxa" w:w="226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(média</w:t>
            </w:r>
            <w:r>
              <w:rPr>
                <w:rFonts w:ascii="Arial" w:hAnsi="Arial"/>
                <w:b w:val="0"/>
                <w:sz w:val="22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dp)</w:t>
            </w:r>
          </w:p>
        </w:tc>
        <w:tc>
          <w:tcPr>
            <w:tcW w:type="dxa" w:w="226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MAE</w:t>
            </w:r>
          </w:p>
        </w:tc>
        <w:tc>
          <w:tcPr>
            <w:tcW w:type="dxa" w:w="226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RMSE</w:t>
            </w:r>
          </w:p>
        </w:tc>
      </w:tr>
      <w:tr>
        <w:tc>
          <w:tcPr>
            <w:tcW w:type="dxa" w:w="2268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Escolhida (profundidade 10)</w:t>
            </w:r>
          </w:p>
        </w:tc>
        <w:tc>
          <w:tcPr>
            <w:tcW w:type="dxa" w:w="226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0,6281</w:t>
            </w:r>
            <w:r>
              <w:rPr>
                <w:rFonts w:ascii="Arial" w:hAnsi="Arial"/>
                <w:b w:val="0"/>
                <w:sz w:val="22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0,0007</w:t>
            </w:r>
          </w:p>
        </w:tc>
        <w:tc>
          <w:tcPr>
            <w:tcW w:type="dxa" w:w="226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0,4213</w:t>
            </w:r>
            <w:r>
              <w:rPr>
                <w:rFonts w:ascii="Arial" w:hAnsi="Arial"/>
                <w:b w:val="0"/>
                <w:sz w:val="22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0,0002</w:t>
            </w:r>
          </w:p>
        </w:tc>
        <w:tc>
          <w:tcPr>
            <w:tcW w:type="dxa" w:w="226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0,5628</w:t>
            </w:r>
            <w:r>
              <w:rPr>
                <w:rFonts w:ascii="Arial" w:hAnsi="Arial"/>
                <w:b w:val="0"/>
                <w:sz w:val="22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0,0003</w:t>
            </w:r>
          </w:p>
        </w:tc>
      </w:tr>
      <w:tr>
        <w:tc>
          <w:tcPr>
            <w:tcW w:type="dxa" w:w="2268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Anterior (profundidade 6)</w:t>
            </w:r>
          </w:p>
        </w:tc>
        <w:tc>
          <w:tcPr>
            <w:tcW w:type="dxa" w:w="2268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0,6143</w:t>
            </w:r>
            <w:r>
              <w:rPr>
                <w:rFonts w:ascii="Arial" w:hAnsi="Arial"/>
                <w:b w:val="0"/>
                <w:sz w:val="22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0,0007</w:t>
            </w:r>
          </w:p>
        </w:tc>
        <w:tc>
          <w:tcPr>
            <w:tcW w:type="dxa" w:w="2268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0,4300</w:t>
            </w:r>
            <w:r>
              <w:rPr>
                <w:rFonts w:ascii="Arial" w:hAnsi="Arial"/>
                <w:b w:val="0"/>
                <w:sz w:val="22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0,0001</w:t>
            </w:r>
          </w:p>
        </w:tc>
        <w:tc>
          <w:tcPr>
            <w:tcW w:type="dxa" w:w="2268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0,5732</w:t>
            </w:r>
            <w:r>
              <w:rPr>
                <w:rFonts w:ascii="Arial" w:hAnsi="Arial"/>
                <w:b w:val="0"/>
                <w:sz w:val="22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0,0002</w:t>
            </w:r>
          </w:p>
        </w:tc>
      </w:tr>
    </w:tbl>
    <w:bookmarkEnd w:id="42"/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: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“Sobreajuste”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a diferença entre o</w:t>
      </w:r>
      <w:r>
        <w:rPr>
          <w:rFonts w:ascii="Arial" w:hAnsi="Arial"/>
          <w:sz w:val="22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treino e 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validação — valores próximos de zero indicam que o modelo não decorou os dados.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configuração escolhida melhora o</w:t>
      </w:r>
      <w:r>
        <w:rPr>
          <w:rFonts w:ascii="Arial" w:hAnsi="Arial"/>
          <w:sz w:val="22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1,4 ponto percentual sem aumentar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sobreajuste, e a variação entre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folds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da ordem de 0,0007 — com 6,2 milhões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observações de treino, o desempenho praticamente não depende de qual pedaço dos dados 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usado para validar. No conjunto de teste (intocado durante a escolha),</w:t>
      </w:r>
      <w:r>
        <w:rPr>
          <w:rFonts w:ascii="Arial" w:hAnsi="Arial"/>
          <w:sz w:val="22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6280</m:t>
        </m:r>
      </m:oMath>
      <w:r>
        <w:rPr>
          <w:rFonts w:ascii="Arial" w:hAnsi="Arial"/>
          <w:sz w:val="22"/>
        </w:rPr>
        <w:t xml:space="preserve">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Na unidade original, o erro mediano de previsão é de R$ 538 por mês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(37% do rendimento observado), com correção de Duan para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retransformação do logaritmo.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O erro na unidade original.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Os modelos preveem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logaritmo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rendimento; para o leitor, o que importa é o erro em reais. Retransformando com a correção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Duan (1983)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(fator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smearing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178</m:t>
        </m:r>
      </m:oMath>
      <w:r>
        <w:rPr>
          <w:rFonts w:ascii="Arial" w:hAnsi="Arial"/>
          <w:sz w:val="22"/>
        </w:rPr>
        <w:t xml:space="preserve">), o erro mediano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previsão é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R$ 538 por mês</w:t>
      </w:r>
      <w:r>
        <w:rPr>
          <w:rFonts w:ascii="Arial" w:hAnsi="Arial"/>
          <w:sz w:val="22"/>
        </w:rPr>
        <w:t xml:space="preserve">, ou 37% do rendimento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observado — a ordem de grandeza que se deve ter em mente ao ler o</w:t>
      </w:r>
      <w:r>
        <w:rPr>
          <w:rFonts w:ascii="Arial" w:hAnsi="Arial"/>
          <w:sz w:val="22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Arial" w:hAnsi="Arial"/>
          <w:sz w:val="22"/>
        </w:rPr>
        <w:t xml:space="preserve">: o modelo acerta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posição relativa das pessoas muito melhor do que o valor exato do salário de cada uma.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Ausência de sobreajuste (população completa).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Estimado sobre a população (</w:t>
      </w:r>
      <m:oMath>
        <m:r>
          <m:t>N</m:t>
        </m:r>
        <m:r>
          <m:rPr>
            <m:sty m:val="p"/>
          </m:rPr>
          <m:t>=</m:t>
        </m:r>
        <m:r>
          <m:t>7.694</m:t>
        </m:r>
        <m:r>
          <m:t>.198</m:t>
        </m:r>
      </m:oMath>
      <w:r>
        <w:rPr>
          <w:rFonts w:ascii="Arial" w:hAnsi="Arial"/>
          <w:sz w:val="22"/>
        </w:rPr>
        <w:t xml:space="preserve">; treino 80%/teste 20%),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método não-paramétrico não apresenta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overfitting</w:t>
      </w:r>
      <w:r>
        <w:rPr>
          <w:rFonts w:ascii="Arial" w:hAnsi="Arial"/>
          <w:sz w:val="22"/>
        </w:rPr>
        <w:t xml:space="preserve">: o</w:t>
      </w:r>
      <w:r>
        <w:rPr>
          <w:rFonts w:ascii="Arial" w:hAnsi="Arial"/>
          <w:sz w:val="22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treino e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teste praticamente coincidem (</w:t>
      </w:r>
      <w:r>
        <w:rPr>
          <w:rFonts w:ascii="Arial" w:hAnsi="Arial"/>
          <w:sz w:val="22"/>
        </w:rPr>
        <w:t xml:space="preserve">gap</w:t>
      </w:r>
      <w:r>
        <w:rPr>
          <w:rFonts w:ascii="Arial" w:hAnsi="Arial"/>
          <w:sz w:val="22"/>
        </w:rPr>
        <w:t xml:space="preserve">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0090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para o XGBoost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para o Random Forest). Três evidências convergem: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gap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treino–teste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≈</m:t>
        </m:r>
        <m:r>
          <m:t>0</m:t>
        </m:r>
      </m:oMath>
      <w:r>
        <w:rPr>
          <w:rFonts w:ascii="Arial" w:hAnsi="Arial"/>
          <w:sz w:val="22"/>
        </w:rPr>
        <w:t xml:space="preserve">; a razão</w:t>
      </w:r>
      <w:r>
        <w:rPr>
          <w:rFonts w:ascii="Arial" w:hAnsi="Arial"/>
          <w:sz w:val="22"/>
        </w:rPr>
        <w:t xml:space="preserve"> </w:t>
      </w:r>
      <m:oMath>
        <m:r>
          <m:t>N</m:t>
        </m:r>
        <m:r>
          <m:rPr>
            <m:sty m:val="p"/>
          </m:rPr>
          <m:t>≫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complexidade (modelos regularizados sobre 7,7 milhões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observações); e a estabilidade do</w:t>
      </w:r>
      <w:r>
        <w:rPr>
          <w:rFonts w:ascii="Arial" w:hAnsi="Arial"/>
          <w:sz w:val="22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teste entre a subamostra de 20% e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população (praticamente idêntico,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62</m:t>
        </m:r>
      </m:oMath>
      <w:r>
        <w:rPr>
          <w:rFonts w:ascii="Arial" w:hAnsi="Arial"/>
          <w:sz w:val="22"/>
        </w:rPr>
        <w:t xml:space="preserve">). Em suma,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ampliar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base, de amostral para populacional,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reduz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 não aumenta — o risco de sobreajuste. A Tabela 5 traz o ranking completo das variáveis nos dois modelos.</w:t>
      </w:r>
    </w:p>
    <w:bookmarkStart w:id="43" w:name="tab:shap_importance"/>
    <w:p>
      <w:pPr>
        <w:pStyle w:val="Tabl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Tabela 5. Importância SHAP Comparada — Random Forest e XGBoost. Predição de log-rendimento, PNAD 2016–2025 (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SHAP</m:t>
            </m:r>
          </m:sub>
        </m:sSub>
        <m:r>
          <m:rPr>
            <m:sty m:val="p"/>
          </m:rPr>
          <m:t>=</m:t>
        </m:r>
        <m:r>
          <m:t>50.000</m:t>
        </m:r>
      </m:oMath>
      <w:r>
        <w:rPr>
          <w:rFonts w:ascii="Arial" w:hAnsi="Arial"/>
          <w:sz w:val="22"/>
        </w:rPr>
        <w:t xml:space="preserve">). Valores: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SHAP</m:t>
        </m:r>
        <m:r>
          <m:rPr>
            <m:sty m:val="p"/>
          </m:rPr>
          <m:t>|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médio. Destaque em negrito: variáveis raciais/contextuais.</w:t>
      </w:r>
    </w:p>
    <w:tbl>
      <w:tblPr>
        <w:tblStyle w:val="Table"/>
        <w:tblW w:type="auto" w:w="0"/>
        <w:tblLayout w:type="fixed"/>
        <w:tblLook w:firstRow="1" w:lastRow="0" w:firstColumn="0" w:lastColumn="0" w:noHBand="0" w:noVBand="0" w:val="0020"/>
        <w:tblCaption w:val="Tabela 5. Importância SHAP Comparada — Random Forest e XGBoost. Predição de log-rendimento, PNAD 2016–2025 (N_{\text{SHAP}}=50.000). Valores: |\text{SHAP}| médio. Destaque em negrito: variáveis raciais/contextuais.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089"/>
        <w:gridCol w:w="1585"/>
        <w:gridCol w:w="906"/>
        <w:gridCol w:w="1585"/>
        <w:gridCol w:w="906"/>
      </w:tblGrid>
      <w:tr>
        <w:trPr>
          <w:tblHeader w:val="on"/>
        </w:trPr>
        <w:tc>
          <w:tcPr>
            <w:tcW w:type="dxa" w:w="4089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Feature</w:t>
            </w:r>
          </w:p>
        </w:tc>
        <w:tc>
          <w:tcPr>
            <w:tcW w:type="dxa" w:w="1585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m:oMath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SHAP</m:t>
              </m:r>
              <m:r>
                <m:rPr>
                  <m:sty m:val="p"/>
                </m:rPr>
                <m:t>|</m:t>
              </m:r>
            </m:oMath>
            <w:r>
              <w:rPr>
                <w:rFonts w:ascii="Arial" w:hAnsi="Arial"/>
                <w:b w:val="0"/>
                <w:bCs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bCs/>
                <w:sz w:val="22"/>
              </w:rPr>
              <w:t xml:space="preserve">RF</w:t>
            </w:r>
          </w:p>
        </w:tc>
        <w:tc>
          <w:tcPr>
            <w:tcW w:type="dxa" w:w="906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Rank RF</w:t>
            </w:r>
          </w:p>
        </w:tc>
        <w:tc>
          <w:tcPr>
            <w:tcW w:type="dxa" w:w="1585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m:oMath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SHAP</m:t>
              </m:r>
              <m:r>
                <m:rPr>
                  <m:sty m:val="p"/>
                </m:rPr>
                <m:t>|</m:t>
              </m:r>
            </m:oMath>
            <w:r>
              <w:rPr>
                <w:rFonts w:ascii="Arial" w:hAnsi="Arial"/>
                <w:b w:val="0"/>
                <w:bCs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bCs/>
                <w:sz w:val="22"/>
              </w:rPr>
              <w:t xml:space="preserve">XGB</w:t>
            </w:r>
          </w:p>
        </w:tc>
        <w:tc>
          <w:tcPr>
            <w:tcW w:type="dxa" w:w="906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Rank XGB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Renda média UPA (exceto o próprio)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0,32538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0,25705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Horas trabalhadas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0,16918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0,16727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Profissionais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0,11711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0,12157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Emprego formal (carteira)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0,14821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0,11753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Gênero (feminino)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0,09288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0,09908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Idade (centralizada)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0,06494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0,09663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Educ.: não registrada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0,03203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0,07138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Conta própria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0,02089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0,06304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Técnicos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0,03709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0,04778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Dirigentes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0,04052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0,04102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Raça (negro)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0,00006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24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0,03140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Serviços/Vendas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0,00052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20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0,03046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Desemprego na UPA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0,00073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17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0,02735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% Negro no Estado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0,00075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0,02493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14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Operários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0,00072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18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0,02415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Op. Máquinas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0,00005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0,02239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Administrativo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0,00234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14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0,01974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17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Trabalho doméstico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0,00651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0,01873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18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Desemprego no Estado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0,00036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21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0,01746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Agropecuária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0,00133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0,01583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20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Idade² (experiência)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0,00641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0,01534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21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% Negro na UPA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0,00010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22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0,01320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22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FFAA/Polícia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0,01110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0,01311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23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 média UPA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0,00009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23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0,01157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24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 média Estado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0,00067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0,00908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Educ.: superior completo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0,00001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26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0,00517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26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Educ.: médio completo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0,00001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26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0,00475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27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Educ.: fundamental completo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0,00000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28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0,00104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28</w:t>
            </w:r>
          </w:p>
        </w:tc>
      </w:tr>
      <w:tr>
        <w:tc>
          <w:tcPr>
            <w:tcW w:type="dxa" w:w="4089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Educ.: pós-graduação</w:t>
            </w:r>
          </w:p>
        </w:tc>
        <w:tc>
          <w:tcPr>
            <w:tcW w:type="dxa" w:w="1585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0,00000</w:t>
            </w:r>
          </w:p>
        </w:tc>
        <w:tc>
          <w:tcPr>
            <w:tcW w:type="dxa" w:w="906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28</w:t>
            </w:r>
          </w:p>
        </w:tc>
        <w:tc>
          <w:tcPr>
            <w:tcW w:type="dxa" w:w="1585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0,00011</w:t>
            </w:r>
          </w:p>
        </w:tc>
        <w:tc>
          <w:tcPr>
            <w:tcW w:type="dxa" w:w="906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29</w:t>
            </w:r>
          </w:p>
        </w:tc>
      </w:tr>
    </w:tbl>
    <w:bookmarkEnd w:id="43"/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pesquisa.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Nota: como ler a Tabela 5: variáveis ordenadas pela importância média (</w:t>
      </w:r>
      <m:oMath>
        <m:r>
          <m:rPr>
            <m:sty m:val="p"/>
          </m:rPr>
          <m:t>|</m:t>
        </m:r>
        <m:r>
          <m:rPr>
            <m:nor/>
            <m:sty m:val="p"/>
          </m:rPr>
          <m:t>SHAP</m:t>
        </m:r>
        <m:r>
          <m:rPr>
            <m:sty m:val="p"/>
          </m:rPr>
          <m:t>|</m:t>
        </m:r>
      </m:oMath>
      <w:r>
        <w:rPr>
          <w:rFonts w:ascii="Arial" w:hAnsi="Arial"/>
          <w:sz w:val="22"/>
        </w:rPr>
        <w:t xml:space="preserve">); valores maiores = maior peso na previsão da renda.</w:t>
      </w:r>
    </w:p>
    <w:bookmarkStart w:id="47" w:name="fig:shap"/>
    <w:p>
      <w:pPr>
        <w:pStyle w:val="CaptionedFigure"/>
      </w:pPr>
      <w:r>
        <w:rPr>
          <w:rFonts w:ascii="Arial" w:hAnsi="Arial"/>
          <w:sz w:val="22"/>
        </w:rPr>
        <w:drawing>
          <wp:inline>
            <wp:extent cx="5753100" cy="4528105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outputs/figures/shap_beeswarm_xgb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5281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Figura 2. Contexto do bairro e jornada dominam a previsão de renda; a raça aparece na 11</w:t>
      </w:r>
      <w:r>
        <w:rPr>
          <w:rFonts w:ascii="Arial" w:hAnsi="Arial"/>
          <w:sz w:val="22"/>
          <w:vertAlign w:val="superscript"/>
        </w:rPr>
        <w:t xml:space="preserve">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posição entre 29 preditores (SHAP, XGBoost,</w:t>
      </w:r>
      <w:r>
        <w:rPr>
          <w:rFonts w:ascii="Arial" w:hAnsi="Arial"/>
          <w:sz w:val="22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SHAP</m:t>
            </m:r>
          </m:sub>
        </m:sSub>
        <m:r>
          <m:rPr>
            <m:sty m:val="p"/>
          </m:rPr>
          <m:t>=</m:t>
        </m:r>
        <m:r>
          <m:t>50.000</m:t>
        </m:r>
      </m:oMath>
      <w:r>
        <w:rPr>
          <w:rFonts w:ascii="Arial" w:hAnsi="Arial"/>
          <w:sz w:val="22"/>
        </w:rPr>
        <w:t xml:space="preserve">).</w:t>
      </w:r>
    </w:p>
    <w:bookmarkEnd w:id="47"/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Nota: como ler a Figura 2: cada ponto é um trabalhador; quanto mais à direita (ou maior a barra), maior o efeito da variável na renda prevista. A cor indica se o valor da variável é alto ou baixo.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Tabela 5 mostra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contexto do bairro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entre 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preditores de maior peso do rendimento individual. A variável usada aqui é a renda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média da UPA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excluindo o próprio indivíduo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w:r>
        <w:rPr>
          <w:rFonts w:ascii="Arial" w:hAnsi="Arial"/>
          <w:sz w:val="22"/>
        </w:rPr>
        <w:t xml:space="preserve">leave-one-out</w:t>
      </w:r>
      <w:r>
        <w:rPr>
          <w:rFonts w:ascii="Arial" w:hAnsi="Arial"/>
          <w:sz w:val="22"/>
        </w:rPr>
        <w:t xml:space="preserve">): a média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inclui a própria pessoa é mecanicamente correlacionada com seu rendimento —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problema do reflexo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(Manski, 1993)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 e inflaria artificialmente a importância 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território. Mesmo sem essa contaminação, o bairro permanece entre os preditores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primeira ordem, o que é consistente com a hipótese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Wilson (1987)</w:t>
      </w:r>
      <w:r>
        <w:rPr>
          <w:rFonts w:ascii="Arial" w:hAnsi="Arial"/>
          <w:sz w:val="22"/>
        </w:rPr>
        <w:t xml:space="preserve">;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leitura correta, porém, é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mediação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territorial — choques comuns ao bairro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(mercado de trabalho local, transporte, redes) afetam todos os moradores — e não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efeito causal de um vizinho sobre o outro. Como checagem extrema, o mesmo XGBoost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estimado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sem qualquer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renda de vizinhança perde pouco poder preditivo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598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contra 0,628 do modelo completo) e, nele, a contribuição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média da raça é praticamente a mesma (0,031 contra 0,031 em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SHAP</m:t>
        </m:r>
        <m:r>
          <m:rPr>
            <m:sty m:val="p"/>
          </m:rPr>
          <m:t>|</m:t>
        </m:r>
      </m:oMath>
      <w:r>
        <w:rPr>
          <w:rFonts w:ascii="Arial" w:hAnsi="Arial"/>
          <w:sz w:val="22"/>
        </w:rPr>
        <w:t xml:space="preserve">): o sinal racial não é um artefato da variável de contexto —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muda apenas a posição relativa no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ranking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(17</w:t>
      </w:r>
      <w:r>
        <w:rPr>
          <w:rFonts w:ascii="Arial" w:hAnsi="Arial"/>
          <w:sz w:val="22"/>
          <w:vertAlign w:val="superscript"/>
        </w:rPr>
        <w:t xml:space="preserve">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28, contra 11</w:t>
      </w:r>
      <w:r>
        <w:rPr>
          <w:rFonts w:ascii="Arial" w:hAnsi="Arial"/>
          <w:sz w:val="22"/>
          <w:vertAlign w:val="superscript"/>
        </w:rPr>
        <w:t xml:space="preserve">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29), porque as demais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variáveis absorvem parte do que o território explicava.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variável racial ocupa o 11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lugar no ranking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importância mesmo após controlar por todos os demais fatores, com SHAP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médio de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0469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para trabalhadores negros — equivalente a uma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penalidade de 4,6% sobre o rendimento predito que não pode ser atribuída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diferenças em educação, experiência, gênero ou contexto de moradia. A Figura 3 ilustra como a previsão de um caso individual é composta.</w:t>
      </w:r>
    </w:p>
    <w:bookmarkStart w:id="51" w:name="fig:shap_wf"/>
    <w:p>
      <w:pPr>
        <w:pStyle w:val="CaptionedFigure"/>
      </w:pPr>
      <w:r>
        <w:rPr>
          <w:rFonts w:ascii="Arial" w:hAnsi="Arial"/>
          <w:sz w:val="22"/>
        </w:rPr>
        <w:drawing>
          <wp:inline>
            <wp:extent cx="3566922" cy="3237305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outputs/figures/shap_waterfall_C_negro_baixa_renda_xgb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6922" cy="3237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Figura 3. Como a previsão de um caso é construída: decomposição SHAP individual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w:r>
        <w:rPr>
          <w:rFonts w:ascii="Arial" w:hAnsi="Arial"/>
          <w:sz w:val="22"/>
        </w:rPr>
        <w:t xml:space="preserve">waterfall</w:t>
      </w:r>
      <w:r>
        <w:rPr>
          <w:rFonts w:ascii="Arial" w:hAnsi="Arial"/>
          <w:sz w:val="22"/>
        </w:rPr>
        <w:t xml:space="preserve">) de um trabalhador negro de baixa renda. Valores em log-pontos;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contribuição da variável racial aparece isolada das demais.</w:t>
      </w:r>
    </w:p>
    <w:bookmarkEnd w:id="51"/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Nota: como ler a Figura 3: cada linha é uma variável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um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trabalhador — não de uma média. A barra mostra quanto aquela variável empurra a previsão para cima ou para baixo, partindo da previsão média da base até a previsão final do caso. Serve para ver como o modelo compõe uma decisão, não para generalizar.</w:t>
      </w:r>
    </w:p>
    <w:bookmarkEnd w:id="52"/>
    <w:bookmarkStart w:id="58" w:name="X03c9c993697b2951d32c364cc1a724101cab21e"/>
    <w:p>
      <w:pPr>
        <w:pStyle w:val="Ttulo2"/>
        <w:spacing w:line="360" w:lineRule="auto" w:before="280" w:after="280"/>
        <w:ind w:firstLine="709"/>
        <w:jc w:val="left"/>
      </w:pPr>
      <w:r>
        <w:rPr>
          <w:rFonts w:ascii="Arial" w:hAnsi="Arial"/>
          <w:b/>
          <w:sz w:val="22"/>
        </w:rPr>
        <w:t xml:space="preserve">Decomposição do gap por mediação contextual e ocupacional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Tabela 6 resume o resultado central dos modelos HLM: à medida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que se adiciona o bairro (intercepto aleatório e contexto da UPA), o estado e a ocupação,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gap racial encolhe de 19,1% (agregado) para 7,0% (M4). Nota: acompanhe a coluna</w:t>
      </w:r>
      <w:r>
        <w:rPr>
          <w:rFonts w:ascii="Arial" w:hAnsi="Arial"/>
          <w:sz w:val="22"/>
        </w:rP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aproximando-se de zero linha a linha — a fração do gap já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explicada aparece 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“Mediação acum.”</w:t>
      </w:r>
      <w:r>
        <w:rPr>
          <w:rFonts w:ascii="Arial" w:hAnsi="Arial"/>
          <w:sz w:val="22"/>
        </w:rPr>
        <w:t xml:space="preserve">; o que resta no M4 é a penalidade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nenhum atributo observável explica.</w:t>
      </w:r>
    </w:p>
    <w:bookmarkStart w:id="53" w:name="tab:mediacao"/>
    <w:p>
      <w:pPr>
        <w:pStyle w:val="Tabl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Tabela 6. Decomposição do gap salarial racial por mediação contextual e ocupacional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(HLM de dois níveis, indivíduos em UPA, com efeitos fixos de UF; PNAD Contínua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2016–2025, população completa). Cada linha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acrescenta um bloco de controles ao anterior; à medida que se adiciona contexto e ocupação,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gap encolhe e a mediação acumulada cresce.</w:t>
      </w:r>
    </w:p>
    <w:tbl>
      <w:tblPr>
        <w:tblStyle w:val="Table"/>
        <w:tblW w:type="auto" w:w="0"/>
        <w:tblLayout w:type="fixed"/>
        <w:tblLook w:firstRow="1" w:lastRow="0" w:firstColumn="0" w:lastColumn="0" w:noHBand="0" w:noVBand="0" w:val="0020"/>
        <w:tblCaption w:val="Tabela 6. Decomposição do gap salarial racial por mediação contextual e ocupacional (HLM de dois níveis, indivíduos em UPA, com efeitos fixos de UF; PNAD Contínua 2016–2025, população completa). Cada linha acrescenta um bloco de controles ao anterior; à medida que se adiciona contexto e ocupação, o gap encolhe e a mediação acumulada cresce.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619"/>
        <w:gridCol w:w="1510"/>
        <w:gridCol w:w="1079"/>
        <w:gridCol w:w="863"/>
      </w:tblGrid>
      <w:tr>
        <w:trPr>
          <w:tblHeader w:val="on"/>
        </w:trPr>
        <w:tc>
          <w:tcPr>
            <w:tcW w:type="dxa" w:w="5619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Modelo (controles acumulados)</w:t>
            </w:r>
          </w:p>
        </w:tc>
        <w:tc>
          <w:tcPr>
            <w:tcW w:type="dxa" w:w="1510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m:oMath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negro</m:t>
                  </m:r>
                </m:sub>
              </m:sSub>
            </m:oMath>
          </w:p>
        </w:tc>
        <w:tc>
          <w:tcPr>
            <w:tcW w:type="dxa" w:w="1079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Gap (%)</w:t>
            </w:r>
          </w:p>
        </w:tc>
        <w:tc>
          <w:tcPr>
            <w:tcW w:type="dxa" w:w="863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Mediação acum. (%)</w:t>
            </w:r>
          </w:p>
        </w:tc>
      </w:tr>
      <w:tr>
        <w:tc>
          <w:tcPr>
            <w:tcW w:type="dxa" w:w="561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Agregado: individual + UF, sem efeito de bairro (OLS)</w:t>
            </w:r>
          </w:p>
        </w:tc>
        <w:tc>
          <w:tcPr>
            <w:tcW w:type="dxa" w:w="151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−0,2123</w:t>
            </w:r>
          </w:p>
        </w:tc>
        <w:tc>
          <w:tcPr>
            <w:tcW w:type="dxa" w:w="107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−19,1</w:t>
            </w:r>
          </w:p>
        </w:tc>
        <w:tc>
          <w:tcPr>
            <w:tcW w:type="dxa" w:w="86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</w:tr>
      <w:tr>
        <w:tc>
          <w:tcPr>
            <w:tcW w:type="dxa" w:w="561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M1: + intercepto aleatório de bairro (UPA)</w:t>
            </w:r>
          </w:p>
        </w:tc>
        <w:tc>
          <w:tcPr>
            <w:tcW w:type="dxa" w:w="151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−0,1124</w:t>
            </w:r>
          </w:p>
        </w:tc>
        <w:tc>
          <w:tcPr>
            <w:tcW w:type="dxa" w:w="107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−10,6</w:t>
            </w:r>
          </w:p>
        </w:tc>
        <w:tc>
          <w:tcPr>
            <w:tcW w:type="dxa" w:w="86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47,0</w:t>
            </w:r>
          </w:p>
        </w:tc>
      </w:tr>
      <w:tr>
        <w:tc>
          <w:tcPr>
            <w:tcW w:type="dxa" w:w="561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M2: + contexto do bairro (UPA)</w:t>
            </w:r>
          </w:p>
        </w:tc>
        <w:tc>
          <w:tcPr>
            <w:tcW w:type="dxa" w:w="151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−0,1076</w:t>
            </w:r>
          </w:p>
        </w:tc>
        <w:tc>
          <w:tcPr>
            <w:tcW w:type="dxa" w:w="107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−10,2</w:t>
            </w:r>
          </w:p>
        </w:tc>
        <w:tc>
          <w:tcPr>
            <w:tcW w:type="dxa" w:w="86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49,3</w:t>
            </w:r>
          </w:p>
        </w:tc>
      </w:tr>
      <w:tr>
        <w:tc>
          <w:tcPr>
            <w:tcW w:type="dxa" w:w="561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M3: + efeitos fixos de UF (gap líquido)</w:t>
            </w:r>
          </w:p>
        </w:tc>
        <w:tc>
          <w:tcPr>
            <w:tcW w:type="dxa" w:w="151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−0,1077</w:t>
            </w:r>
          </w:p>
        </w:tc>
        <w:tc>
          <w:tcPr>
            <w:tcW w:type="dxa" w:w="107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−10,2</w:t>
            </w:r>
          </w:p>
        </w:tc>
        <w:tc>
          <w:tcPr>
            <w:tcW w:type="dxa" w:w="86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49,3</w:t>
            </w:r>
          </w:p>
        </w:tc>
      </w:tr>
      <w:tr>
        <w:tc>
          <w:tcPr>
            <w:tcW w:type="dxa" w:w="5619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M4: + ocupação e formalidade (limite inferior)</w:t>
            </w:r>
          </w:p>
        </w:tc>
        <w:tc>
          <w:tcPr>
            <w:tcW w:type="dxa" w:w="1510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−0,0724</w:t>
            </w:r>
          </w:p>
        </w:tc>
        <w:tc>
          <w:tcPr>
            <w:tcW w:type="dxa" w:w="1079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−7,0</w:t>
            </w:r>
          </w:p>
        </w:tc>
        <w:tc>
          <w:tcPr>
            <w:tcW w:type="dxa" w:w="863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65,9</w:t>
            </w:r>
          </w:p>
        </w:tc>
      </w:tr>
    </w:tbl>
    <w:bookmarkEnd w:id="53"/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: cada linha adiciona algo à anterior.</w:t>
      </w:r>
      <w:r>
        <w:rPr>
          <w:rFonts w:ascii="Arial" w:hAnsi="Arial"/>
          <w:sz w:val="22"/>
        </w:rP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a penalidade racial em log-rendimento (mais próximo de zero = menor gap);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“Gap (%)”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penalidade em % de renda;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“Mediação acum.”</w:t>
      </w:r>
      <w:r>
        <w:rPr>
          <w:rFonts w:ascii="Arial" w:hAnsi="Arial"/>
          <w:sz w:val="22"/>
        </w:rPr>
        <w:t xml:space="preserve"> é a fração do gap agregado (primeira linha) já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explicada. O salto da primeira para a segunda linha é a mediação pela segregação residencial: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comparar negros e brancos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do mesmo bairro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reduz o gap quase à metade. Do modelo agregado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ao M4 o gap cai de 19,1% para 7,0%: 65,9% do gap é mediado por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onde a pessoa mora, o estado e a ocupação que acessa — e a penalidade de 7,0% persiste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dentro da mesma ocupação (limite inferior, pois a ocupação é ela própria resultado da barreira de acesso).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Figura 4 resume a sequência de degraus em barras.</w:t>
      </w:r>
    </w:p>
    <w:bookmarkStart w:id="57" w:name="fig:hlm_gap"/>
    <w:p>
      <w:pPr>
        <w:pStyle w:val="CaptionedFigure"/>
      </w:pPr>
      <w:r>
        <w:rPr>
          <w:rFonts w:ascii="Arial" w:hAnsi="Arial"/>
          <w:sz w:val="22"/>
        </w:rPr>
        <w:drawing>
          <wp:inline>
            <wp:extent cx="5292852" cy="2571773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outputs/figures/fig_hlm_gap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2852" cy="25717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Figura 4. Metade do gap racial desaparece ao comparar pessoas do mesmo bairro — e o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sobra não é explicado por escolaridade, idade, sexo, estado nem ocupação. Barras:</w:t>
      </w:r>
      <w:r>
        <w:rPr>
          <w:rFonts w:ascii="Arial" w:hAnsi="Arial"/>
          <w:sz w:val="22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cada modelo; traço: IC 95% (estreito pelo</w:t>
      </w:r>
      <w:r>
        <w:rPr>
          <w:rFonts w:ascii="Arial" w:hAnsi="Arial"/>
          <w:sz w:val="22"/>
        </w:rPr>
        <w:t xml:space="preserve"> </w:t>
      </w:r>
      <m:oMath>
        <m:r>
          <m:t>N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milhões);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rótulo: gap em % de renda. Em azul, o M3 (gap líquido).</w:t>
      </w:r>
    </w:p>
    <w:bookmarkEnd w:id="57"/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Nota: como ler a Figura 4: cada barra é um modelo da sequência e, de cima para baixo, acrescenta-se um bloco de controles ao anterior. O comprimento da barra é a penalidade racial em log-rendimento e o rótulo dentro dela, a mesma penalidade em % de renda; o traço fino é o intervalo de confiança de 95% com erro-padrão agrupado por UPA. Em azul, o M3 — o gap líquido.</w:t>
      </w:r>
    </w:p>
    <w:bookmarkEnd w:id="58"/>
    <w:bookmarkStart w:id="64" w:name="X0e69078f56ff2fc58d4b5157c72cc4a5dec12bc"/>
    <w:p>
      <w:pPr>
        <w:pStyle w:val="Ttulo2"/>
        <w:spacing w:line="360" w:lineRule="auto" w:before="280" w:after="280"/>
        <w:ind w:firstLine="709"/>
        <w:jc w:val="left"/>
      </w:pPr>
      <w:r>
        <w:rPr>
          <w:rFonts w:ascii="Arial" w:hAnsi="Arial"/>
          <w:b/>
          <w:sz w:val="22"/>
        </w:rPr>
        <w:t xml:space="preserve">Decomposição de Oaxaca–Blinder: composição</w:t>
      </w:r>
      <w:r>
        <w:rPr>
          <w:rFonts w:ascii="Arial" w:hAnsi="Arial"/>
          <w:b/>
          <w:sz w:val="22"/>
        </w:rPr>
        <w:t xml:space="preserve"> </w:t>
      </w:r>
      <w:r>
        <w:rPr>
          <w:rFonts w:ascii="Arial" w:hAnsi="Arial"/>
          <w:b/>
          <w:sz w:val="22"/>
        </w:rPr>
        <w:t xml:space="preserve">vs.</w:t>
      </w:r>
      <w:r>
        <w:rPr>
          <w:rFonts w:ascii="Arial" w:hAnsi="Arial"/>
          <w:b/>
          <w:sz w:val="22"/>
        </w:rPr>
        <w:t xml:space="preserve"> discriminação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decomposição de Oaxaca–Blinder separa o gap bruto de log-rendimento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(0,4255 log-pontos, ou 53,0%) em uma parcela explicada por diferenças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dotações e uma parcela não explicada (retornos diferenciais — limite inferior 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discriminação). A Tabela 7 apresenta duas especificações,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porque ocupação e formalidade são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bad controls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(Angrist &amp; Pischke, 2009):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são elas próprias resultado da discriminação. Em (A), com os controles do HLM M3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(capital humano e contexto de UPA), 28,4% do gap não é explicado por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características observáveis; em (B), tratando também horas, formalidade e grupo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CBO como dotações, a parcela não explicada cai para 16,2% —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discriminação salarial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dentro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ocupação. A diferença entre as duas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(12,2 pontos percentuais) é a parcela da discriminação que opera pela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porta de entrada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das ocupações, e não pelo salário — exatamente o que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GLMM de acesso mede adiante. Nota: em cada coluna, Dotações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+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explicado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rPr>
          <w:rFonts w:ascii="Arial" w:hAnsi="Arial"/>
          <w:sz w:val="22"/>
        </w:rPr>
        <w:t xml:space="preserve">; os erros-padrão vêm de bootstrap em blocos por UPA.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Pressupostos das regressões por grupo.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As duas regressões auxiliares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(brancos e negros) foram submetidas aos testes de Breusch–Pagan e RESET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(Fávero &amp; Belfiore, cap. 12). Há heterocedasticidade — esperada em log-rendimento —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mas de magnitude modesta: o</w:t>
      </w:r>
      <w:r>
        <w:rPr>
          <w:rFonts w:ascii="Arial" w:hAnsi="Arial"/>
          <w:sz w:val="22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regressão auxiliar do Breusch–Pagan é 0,061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(brancos) e 0,065 (negros), e é justamente por isso que os erros-padrão são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agrupados por UPA e a decomposição usa bootstrap em blocos. O RESET rejeita a forma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funcional linear, mas o ganho de</w:t>
      </w:r>
      <w:r>
        <w:rPr>
          <w:rFonts w:ascii="Arial" w:hAnsi="Arial"/>
          <w:sz w:val="22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ao acrescentar potências do valor predito é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0,0009 (brancos) e 0,0038 (negros) — irrelevante para a decomposição. Com</w:t>
      </w:r>
      <w:r>
        <w:rPr>
          <w:rFonts w:ascii="Arial" w:hAnsi="Arial"/>
          <w:sz w:val="22"/>
        </w:rPr>
        <w:t xml:space="preserve"> </w:t>
      </w:r>
      <m:oMath>
        <m:r>
          <m:t>N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milhões, ambos os testes rejeitam qualquer hipótese nula pontual; o que importa é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magnitude, não o</w:t>
      </w:r>
      <w:r>
        <w:rPr>
          <w:rFonts w:ascii="Arial" w:hAnsi="Arial"/>
          <w:sz w:val="22"/>
        </w:rPr>
        <w:t xml:space="preserve"> </w:t>
      </w:r>
      <m:oMath>
        <m:r>
          <m:t>p</m:t>
        </m:r>
      </m:oMath>
      <w:r>
        <w:rPr>
          <w:rFonts w:ascii="Arial" w:hAnsi="Arial"/>
          <w:sz w:val="22"/>
        </w:rPr>
        <w:t xml:space="preserve">-valor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(Angrist; Pischke, 2009)</w:t>
      </w:r>
      <w:r>
        <w:rPr>
          <w:rFonts w:ascii="Arial" w:hAnsi="Arial"/>
          <w:sz w:val="22"/>
        </w:rPr>
        <w:t xml:space="preserve">.</w:t>
      </w:r>
    </w:p>
    <w:bookmarkStart w:id="59" w:name="tab:oaxaca_blinder"/>
    <w:p>
      <w:pPr>
        <w:pStyle w:val="Tabl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Tabela 7. Decomposição de Oaxaca–Blinder (</w:t>
      </w:r>
      <w:r>
        <w:rPr>
          <w:rFonts w:ascii="Arial" w:hAnsi="Arial"/>
          <w:i/>
          <w:iCs/>
          <w:sz w:val="22"/>
        </w:rPr>
        <w:t xml:space="preserve">twofold</w:t>
      </w:r>
      <w:r>
        <w:rPr>
          <w:rFonts w:ascii="Arial" w:hAnsi="Arial"/>
          <w:sz w:val="22"/>
        </w:rPr>
        <w:t xml:space="preserve">, referência: estrutura de preços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dos brancos) do gap salarial racial em duas especificações. (A) </w:t>
      </w:r>
      <w:r>
        <w:rPr>
          <w:rFonts w:ascii="Arial" w:hAnsi="Arial"/>
          <w:i/>
          <w:iCs/>
          <w:sz w:val="22"/>
        </w:rPr>
        <w:t xml:space="preserve">Capital humano +</w:t>
      </w:r>
      <w:r>
        <w:rPr>
          <w:rFonts w:ascii="Arial" w:hAnsi="Arial"/>
          <w:i/>
          <w:iCs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contexto</w:t>
      </w:r>
      <w:r>
        <w:rPr>
          <w:rFonts w:ascii="Arial" w:hAnsi="Arial"/>
          <w:sz w:val="22"/>
        </w:rPr>
        <w:t xml:space="preserve">: escolaridade, idade, sexo e contexto de UPA — os mesmos controles do HLM M3;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parcela não explicada é comparável à da literatura. (B) </w:t>
      </w:r>
      <w:r>
        <w:rPr>
          <w:rFonts w:ascii="Arial" w:hAnsi="Arial"/>
          <w:i/>
          <w:iCs/>
          <w:sz w:val="22"/>
        </w:rPr>
        <w:t xml:space="preserve">Acesso</w:t>
      </w:r>
      <w:r>
        <w:rPr>
          <w:rFonts w:ascii="Arial" w:hAnsi="Arial"/>
          <w:sz w:val="22"/>
        </w:rPr>
        <w:t xml:space="preserve">: (A) + horas,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formalidade e grupo CBO tratados como dotações — a parcela não explicada é a discriminação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dentro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ocupação, um limite inferior, pois a segregação ocupacional é ela própria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discriminatória (Oaxaca &amp; Ransom, 1999; ver o GLMM de acesso, Tabela 10).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População completa da PEA com renda positiva (</w:t>
      </w:r>
      <m:oMath>
        <m:r>
          <m:t>N</m:t>
        </m:r>
        <m:r>
          <m:rPr>
            <m:sty m:val="p"/>
          </m:rPr>
          <m:t>=</m:t>
        </m:r>
        <m:r>
          <m:t>7.694</m:t>
        </m:r>
        <m:r>
          <m:t>.198</m:t>
        </m:r>
      </m:oMath>
      <w:r>
        <w:rPr>
          <w:rFonts w:ascii="Arial" w:hAnsi="Arial"/>
          <w:sz w:val="22"/>
        </w:rPr>
        <w:t xml:space="preserve">; 40.969 UPAs).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Erros-padrão entre parênteses: bootstrap em blocos por UPA (500 réplicas).</w:t>
      </w:r>
    </w:p>
    <w:tbl>
      <w:tblPr>
        <w:tblStyle w:val="Table"/>
        <w:tblW w:type="auto" w:w="0"/>
        <w:tblLayout w:type="fixed"/>
        <w:tblLook w:firstRow="1" w:lastRow="0" w:firstColumn="0" w:lastColumn="0" w:noHBand="0" w:noVBand="0" w:val="0020"/>
        <w:tblCaption w:val="Tabela 7. Decomposição de Oaxaca–Blinder (twofold, referência: estrutura de preços dos brancos) do gap salarial racial em duas especificações. (A) Capital humano + contexto: escolaridade, idade, sexo e contexto de UPA — os mesmos controles do HLM M3; a parcela não explicada é comparável à da literatura. (B) Acesso: (A) + horas, formalidade e grupo CBO tratados como dotações — a parcela não explicada é a discriminação dentro da ocupação, um limite inferior, pois a segregação ocupacional é ela própria discriminatória (Oaxaca &amp; Ransom, 1999; ver o GLMM de acesso, Tabela 10). População completa da PEA com renda positiva (N = 7.694.198; 40.969 UPAs). Erros-padrão entre parênteses: bootstrap em blocos por UPA (500 réplicas).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974"/>
        <w:gridCol w:w="1190"/>
        <w:gridCol w:w="1190"/>
        <w:gridCol w:w="1859"/>
        <w:gridCol w:w="1859"/>
      </w:tblGrid>
      <w:tr>
        <w:trPr>
          <w:tblHeader w:val="on"/>
        </w:trPr>
        <w:tc>
          <w:tcPr>
            <w:tcW w:type="dxa" w:w="2974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</w:p>
        </w:tc>
        <w:tc>
          <w:tcPr>
            <w:tcW w:type="dxa" w:w="1190"/>
            <w:gridSpan w:val="2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(A) Sem ocupação</w:t>
            </w:r>
          </w:p>
        </w:tc>
        <w:tc>
          <w:tcPr>
            <w:tcW w:type="dxa" w:w="1859"/>
            <w:gridSpan w:val="2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(B) Acesso (com ocupação)</w:t>
            </w:r>
          </w:p>
        </w:tc>
      </w:tr>
      <w:tr>
        <w:tc>
          <w:tcPr>
            <w:tcW w:type="dxa" w:w="2974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2-3</w:t>
            </w:r>
            <w:r>
              <w:rPr>
                <w:rFonts w:ascii="Arial" w:hAnsi="Arial"/>
                <w:b w:val="0"/>
                <w:sz w:val="22"/>
              </w:rPr>
              <w:t xml:space="preserve">(lr)</w:t>
            </w:r>
            <w:r>
              <w:rPr>
                <w:rFonts w:ascii="Arial" w:hAnsi="Arial"/>
                <w:b w:val="0"/>
                <w:sz w:val="22"/>
              </w:rPr>
              <w:t xml:space="preserve">4-5</w:t>
            </w:r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Componente</w:t>
            </w:r>
          </w:p>
        </w:tc>
        <w:tc>
          <w:tcPr>
            <w:tcW w:type="dxa" w:w="119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log-pontos (SE)</w:t>
            </w:r>
          </w:p>
        </w:tc>
        <w:tc>
          <w:tcPr>
            <w:tcW w:type="dxa" w:w="119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% do gap</w:t>
            </w:r>
          </w:p>
        </w:tc>
        <w:tc>
          <w:tcPr>
            <w:tcW w:type="dxa" w:w="1859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log-pontos (SE)</w:t>
            </w:r>
          </w:p>
        </w:tc>
        <w:tc>
          <w:tcPr>
            <w:tcW w:type="dxa" w:w="1859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% do gap</w:t>
            </w:r>
          </w:p>
        </w:tc>
      </w:tr>
      <w:tr>
        <w:tc>
          <w:tcPr>
            <w:tcW w:type="dxa" w:w="2974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Gap total (branco</w:t>
            </w:r>
            <w:r>
              <w:rPr>
                <w:rFonts w:ascii="Arial" w:hAnsi="Arial"/>
                <w:b w:val="0"/>
                <w:sz w:val="22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negro)</w:t>
            </w:r>
          </w:p>
        </w:tc>
        <w:tc>
          <w:tcPr>
            <w:tcW w:type="dxa" w:w="119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0,4255 (0,0034)</w:t>
            </w:r>
          </w:p>
        </w:tc>
        <w:tc>
          <w:tcPr>
            <w:tcW w:type="dxa" w:w="119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100,0</w:t>
            </w:r>
          </w:p>
        </w:tc>
        <w:tc>
          <w:tcPr>
            <w:tcW w:type="dxa" w:w="18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0,4255 (0,0034)</w:t>
            </w:r>
          </w:p>
        </w:tc>
        <w:tc>
          <w:tcPr>
            <w:tcW w:type="dxa" w:w="18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100,0</w:t>
            </w:r>
          </w:p>
        </w:tc>
      </w:tr>
      <w:tr>
        <w:tc>
          <w:tcPr>
            <w:tcW w:type="dxa" w:w="2974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Dotações (características observáveis)</w:t>
            </w:r>
          </w:p>
        </w:tc>
        <w:tc>
          <w:tcPr>
            <w:tcW w:type="dxa" w:w="119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0,3046 (0,0038)</w:t>
            </w:r>
          </w:p>
        </w:tc>
        <w:tc>
          <w:tcPr>
            <w:tcW w:type="dxa" w:w="119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71,6</w:t>
            </w:r>
          </w:p>
        </w:tc>
        <w:tc>
          <w:tcPr>
            <w:tcW w:type="dxa" w:w="18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0,3566 (0,0036)</w:t>
            </w:r>
          </w:p>
        </w:tc>
        <w:tc>
          <w:tcPr>
            <w:tcW w:type="dxa" w:w="18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83,8</w:t>
            </w:r>
          </w:p>
        </w:tc>
      </w:tr>
      <w:tr>
        <w:tc>
          <w:tcPr>
            <w:tcW w:type="dxa" w:w="2974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Não explicado (retornos / discriminação)</w:t>
            </w:r>
          </w:p>
        </w:tc>
        <w:tc>
          <w:tcPr>
            <w:tcW w:type="dxa" w:w="1190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0,1209 (0,0018)</w:t>
            </w:r>
          </w:p>
        </w:tc>
        <w:tc>
          <w:tcPr>
            <w:tcW w:type="dxa" w:w="1190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28,4</w:t>
            </w:r>
          </w:p>
        </w:tc>
        <w:tc>
          <w:tcPr>
            <w:tcW w:type="dxa" w:w="1859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0,0689 (0,0013)</w:t>
            </w:r>
          </w:p>
        </w:tc>
        <w:tc>
          <w:tcPr>
            <w:tcW w:type="dxa" w:w="1859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16,2</w:t>
            </w:r>
          </w:p>
        </w:tc>
      </w:tr>
    </w:tbl>
    <w:bookmarkEnd w:id="59"/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: em cada especificação, Dotações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+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Não explicado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Gap total.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(A) para (B), parte 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“não explicado”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migra para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“dotações”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porque a ocupação passa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ser tratada como característica — é exatamente a parcela da discriminação que opera pela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porta de entrada</w:t>
      </w:r>
      <w:r>
        <w:rPr>
          <w:rFonts w:ascii="Arial" w:hAnsi="Arial"/>
          <w:sz w:val="22"/>
        </w:rPr>
        <w:t xml:space="preserve">, e não pelo salário.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Figura 5 apresenta as duas especificações em forma de cascata.</w:t>
      </w:r>
    </w:p>
    <w:bookmarkStart w:id="63" w:name="fig:ob_cascata"/>
    <w:p>
      <w:pPr>
        <w:pStyle w:val="CaptionedFigure"/>
      </w:pPr>
      <w:r>
        <w:rPr>
          <w:rFonts w:ascii="Arial" w:hAnsi="Arial"/>
          <w:sz w:val="22"/>
        </w:rPr>
        <w:drawing>
          <wp:inline>
            <wp:extent cx="5465445" cy="2196175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outputs/figures/fig_ob_cascata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5445" cy="2196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Figura 5. Tratar a ocupação como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“característica”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derruba pela metade a discriminação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medida: de 28,4% para 16,2% do gap. A parcela que some é a que opera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na porta de entrada das ocupações — medida adiante pelo modelo de acesso.</w:t>
      </w:r>
    </w:p>
    <w:bookmarkEnd w:id="63"/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Nota: como ler a Figura 5: cada painel é uma cascata lida da esquerda para a direita. A primeira barra é o gap total em log-rendimento; a segunda desconta a parcela atribuída a diferenças de características (dotações); a terceira, em azul, é o que sobra sem explicação. A única diferença entre os painéis é se a ocupação entra ou não como característica.</w:t>
      </w:r>
    </w:p>
    <w:bookmarkEnd w:id="64"/>
    <w:bookmarkStart w:id="71" w:name="subsec:qr_rif"/>
    <w:p>
      <w:pPr>
        <w:pStyle w:val="Ttulo2"/>
        <w:spacing w:line="360" w:lineRule="auto" w:before="280" w:after="280"/>
        <w:ind w:firstLine="709"/>
        <w:jc w:val="left"/>
      </w:pPr>
      <w:r>
        <w:rPr>
          <w:rFonts w:ascii="Arial" w:hAnsi="Arial"/>
          <w:b/>
          <w:sz w:val="22"/>
        </w:rPr>
        <w:t xml:space="preserve">Regressão Quantílica e RIF-OB: teto de vidro e</w:t>
      </w:r>
      <w:r>
        <w:rPr>
          <w:rFonts w:ascii="Arial" w:hAnsi="Arial"/>
          <w:b/>
          <w:sz w:val="22"/>
        </w:rPr>
        <w:t xml:space="preserve"> </w:t>
      </w:r>
      <w:r>
        <w:rPr>
          <w:rFonts w:ascii="Arial" w:hAnsi="Arial"/>
          <w:b/>
          <w:sz w:val="22"/>
        </w:rPr>
        <w:t xml:space="preserve">sticky floor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regressão quantílica estima o gap em cada ponto da distribuição de renda;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RIF-OB separa, por quantil, dotação e retorno. A Tabela 8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mostra o gap crescendo ao longo da distribuição (teto de vidro no gap bruto);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Tabela 9 revela o padrão complementar: o componente de retorno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(discriminação proporcional) é maior na base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decresce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rumo ao topo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w:r>
        <w:rPr>
          <w:rFonts w:ascii="Arial" w:hAnsi="Arial"/>
          <w:sz w:val="22"/>
        </w:rPr>
        <w:t xml:space="preserve">sticky floor</w:t>
      </w:r>
      <w:r>
        <w:rPr>
          <w:rFonts w:ascii="Arial" w:hAnsi="Arial"/>
          <w:sz w:val="22"/>
        </w:rPr>
        <w:t xml:space="preserve">). Nota: na Tabela 9, Dotações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+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Retornos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cada quantil; siga a coluna Retornos caindo de</w:t>
      </w:r>
      <w:r>
        <w:rPr>
          <w:rFonts w:ascii="Arial" w:hAnsi="Arial"/>
          <w:sz w:val="22"/>
        </w:rPr>
        <w:t xml:space="preserve"> </w:t>
      </w:r>
      <m:oMath>
        <m:r>
          <m:t>35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%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(q10)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</w:t>
      </w:r>
      <w:r>
        <w:rPr>
          <w:rFonts w:ascii="Arial" w:hAnsi="Arial"/>
          <w:sz w:val="22"/>
        </w:rPr>
        <w:t xml:space="preserve"> </w:t>
      </w:r>
      <m:oMath>
        <m:r>
          <m:t>12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%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(q90) — a discriminação de preço pesa mais na base.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Por que os dois padrões não se contradizem.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regressão quantílica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estima quantis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condicionais</w:t>
      </w:r>
      <w:r>
        <w:rPr>
          <w:rFonts w:ascii="Arial" w:hAnsi="Arial"/>
          <w:sz w:val="22"/>
        </w:rPr>
        <w:t xml:space="preserve">:</w:t>
      </w:r>
      <w:r>
        <w:rPr>
          <w:rFonts w:ascii="Arial" w:hAnsi="Arial"/>
          <w:sz w:val="22"/>
        </w:rP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compara negros e brancos na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mesma posição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dentro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distribuição de pessoas com o mesmo perfil observável.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crescimento de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ao longo de</w:t>
      </w:r>
      <w:r>
        <w:rPr>
          <w:rFonts w:ascii="Arial" w:hAnsi="Arial"/>
          <w:sz w:val="22"/>
        </w:rPr>
        <w:t xml:space="preserve"> </w:t>
      </w:r>
      <m:oMath>
        <m:r>
          <m:t>τ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significa que a dispersão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condicional do rendimento é maior entre brancos —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fanning out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na linguagem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Angrist; Pischke (2009)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—, e não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“os negros do topo sofrem mais”</w:t>
      </w:r>
      <w:r>
        <w:rPr>
          <w:rFonts w:ascii="Arial" w:hAnsi="Arial"/>
          <w:sz w:val="22"/>
        </w:rPr>
        <w:t xml:space="preserve">: quantis não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seguem indivíduos, e a leitura em termos de pessoas exigiria invariância de posto,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não se testa aqui. A RIF-OB, ao contrário, decompõe quantis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incondicionais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distribuição de renda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(Firpo; Fortin; Lemieux, 2018)</w:t>
      </w:r>
      <w:r>
        <w:rPr>
          <w:rFonts w:ascii="Arial" w:hAnsi="Arial"/>
          <w:sz w:val="22"/>
        </w:rPr>
        <w:t xml:space="preserve">: responde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“de que é feito o gap no q10 da renda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país”</w:t>
      </w:r>
      <w:r>
        <w:rPr>
          <w:rFonts w:ascii="Arial" w:hAnsi="Arial"/>
          <w:sz w:val="22"/>
        </w:rPr>
        <w:t xml:space="preserve">. Como a composição observável concentra negros na base, a parcela de retornos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maior ali; e como há mais dispersão condicional no topo, o coeficiente condicional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cresce com</w:t>
      </w:r>
      <w:r>
        <w:rPr>
          <w:rFonts w:ascii="Arial" w:hAnsi="Arial"/>
          <w:sz w:val="22"/>
        </w:rPr>
        <w:t xml:space="preserve"> </w:t>
      </w:r>
      <m:oMath>
        <m:r>
          <m:t>τ</m:t>
        </m:r>
      </m:oMath>
      <w:r>
        <w:rPr>
          <w:rFonts w:ascii="Arial" w:hAnsi="Arial"/>
          <w:sz w:val="22"/>
        </w:rPr>
        <w:t xml:space="preserve">. Os dois resultados são complementares — um é sobre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preço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pago a características, o outro sobre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distribuição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características.</w:t>
      </w:r>
    </w:p>
    <w:bookmarkStart w:id="65" w:name="tab:qr_melhorias"/>
    <w:p>
      <w:pPr>
        <w:pStyle w:val="Tabl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Tabela 8. Regressão quantílica: coeficiente</w:t>
      </w:r>
      <w:r>
        <w:rPr>
          <w:rFonts w:ascii="Arial" w:hAnsi="Arial"/>
          <w:sz w:val="22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 quantil e sexo.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Gap (%)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100</m:t>
        </m:r>
      </m:oMath>
      <w:r>
        <w:rPr>
          <w:rFonts w:ascii="Arial" w:hAnsi="Arial"/>
          <w:sz w:val="22"/>
        </w:rPr>
        <w:t xml:space="preserve">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M3: controles individuais + contexto UPA + UF efeito fixo. População completa.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Entre parênteses (coluna Global): erro-padrão por bootstrap em blocos por UPA.</w:t>
      </w:r>
      <w:r>
        <w:rPr>
          <w:rFonts w:ascii="Arial" w:hAnsi="Arial"/>
          <w:sz w:val="22"/>
        </w:rP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</m:sup>
        </m:sSup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todos os quantis e grupos.</w:t>
      </w:r>
    </w:p>
    <w:tbl>
      <w:tblPr>
        <w:tblStyle w:val="Table"/>
        <w:tblW w:type="auto" w:w="0"/>
        <w:tblLayout w:type="fixed"/>
        <w:tblLook w:firstRow="1" w:lastRow="0" w:firstColumn="0" w:lastColumn="0" w:noHBand="0" w:noVBand="0" w:val="0020"/>
        <w:tblCaption w:val="Tabela 8. Regressão quantílica: coeficiente \hat{\beta}_{\text{negro}} por quantil e sexo. Gap (%) = (e^{\hat{\beta}}-1)\times 100. M3: controles individuais + contexto UPA + UF efeito fixo. População completa. Entre parênteses (coluna Global): erro-padrão por bootstrap em blocos por UPA. ^{***}p&lt;0{,}001 em todos os quantis e grupos.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23"/>
        <w:gridCol w:w="1737"/>
        <w:gridCol w:w="1158"/>
        <w:gridCol w:w="772"/>
        <w:gridCol w:w="1158"/>
        <w:gridCol w:w="772"/>
        <w:gridCol w:w="1351"/>
      </w:tblGrid>
      <w:tr>
        <w:trPr>
          <w:tblHeader w:val="on"/>
        </w:trPr>
        <w:tc>
          <w:tcPr>
            <w:tcW w:type="dxa" w:w="2123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</w:p>
        </w:tc>
        <w:tc>
          <w:tcPr>
            <w:tcW w:type="dxa" w:w="1158"/>
            <w:gridSpan w:val="2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Global</w:t>
            </w:r>
          </w:p>
        </w:tc>
        <w:tc>
          <w:tcPr>
            <w:tcW w:type="dxa" w:w="1158"/>
            <w:gridSpan w:val="2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Homens</w:t>
            </w:r>
          </w:p>
        </w:tc>
        <w:tc>
          <w:tcPr>
            <w:tcW w:type="dxa" w:w="1351"/>
            <w:gridSpan w:val="2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Mulheres</w:t>
            </w:r>
          </w:p>
        </w:tc>
      </w:tr>
      <w:tr>
        <w:tc>
          <w:tcPr>
            <w:tcW w:type="dxa" w:w="2123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2-3</w:t>
            </w:r>
            <w:r>
              <w:rPr>
                <w:rFonts w:ascii="Arial" w:hAnsi="Arial"/>
                <w:b w:val="0"/>
                <w:sz w:val="22"/>
              </w:rPr>
              <w:t xml:space="preserve">(lr)</w:t>
            </w:r>
            <w:r>
              <w:rPr>
                <w:rFonts w:ascii="Arial" w:hAnsi="Arial"/>
                <w:b w:val="0"/>
                <w:sz w:val="22"/>
              </w:rPr>
              <w:t xml:space="preserve">4-5</w:t>
            </w:r>
            <w:r>
              <w:rPr>
                <w:rFonts w:ascii="Arial" w:hAnsi="Arial"/>
                <w:b w:val="0"/>
                <w:sz w:val="22"/>
              </w:rPr>
              <w:t xml:space="preserve">(lr)</w:t>
            </w:r>
            <w:r>
              <w:rPr>
                <w:rFonts w:ascii="Arial" w:hAnsi="Arial"/>
                <w:b w:val="0"/>
                <w:sz w:val="22"/>
              </w:rPr>
              <w:t xml:space="preserve">6-7</w:t>
            </w:r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Quantil</w:t>
            </w:r>
          </w:p>
        </w:tc>
        <w:tc>
          <w:tcPr>
            <w:tcW w:type="dxa" w:w="1737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(SE)</w:t>
            </w:r>
          </w:p>
        </w:tc>
        <w:tc>
          <w:tcPr>
            <w:tcW w:type="dxa" w:w="115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Gap (%)</w:t>
            </w:r>
          </w:p>
        </w:tc>
        <w:tc>
          <w:tcPr>
            <w:tcW w:type="dxa" w:w="77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  <w:tc>
          <w:tcPr>
            <w:tcW w:type="dxa" w:w="115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Gap (%)</w:t>
            </w:r>
          </w:p>
        </w:tc>
        <w:tc>
          <w:tcPr>
            <w:tcW w:type="dxa" w:w="77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  <w:tc>
          <w:tcPr>
            <w:tcW w:type="dxa" w:w="135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Gap (%)</w:t>
            </w:r>
          </w:p>
        </w:tc>
      </w:tr>
      <w:tr>
        <w:tc>
          <w:tcPr>
            <w:tcW w:type="dxa" w:w="2123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</w:p>
        </w:tc>
        <w:tc>
          <w:tcPr>
            <w:tcW w:type="dxa" w:w="1737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0.0832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(0.0019)</w:t>
            </w:r>
          </w:p>
        </w:tc>
        <w:tc>
          <w:tcPr>
            <w:tcW w:type="dxa" w:w="115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8.0</m:t>
              </m:r>
              <m:r>
                <m:rPr>
                  <m:sty m:val="p"/>
                </m:rPr>
                <m:t>%</m:t>
              </m:r>
            </m:oMath>
          </w:p>
        </w:tc>
        <w:tc>
          <w:tcPr>
            <w:tcW w:type="dxa" w:w="77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0.0608</m:t>
              </m:r>
            </m:oMath>
          </w:p>
        </w:tc>
        <w:tc>
          <w:tcPr>
            <w:tcW w:type="dxa" w:w="115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5.9</m:t>
              </m:r>
              <m:r>
                <m:rPr>
                  <m:sty m:val="p"/>
                </m:rPr>
                <m:t>%</m:t>
              </m:r>
            </m:oMath>
          </w:p>
        </w:tc>
        <w:tc>
          <w:tcPr>
            <w:tcW w:type="dxa" w:w="77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0.1160</m:t>
              </m:r>
            </m:oMath>
          </w:p>
        </w:tc>
        <w:tc>
          <w:tcPr>
            <w:tcW w:type="dxa" w:w="135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11.0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>
            <w:tcW w:type="dxa" w:w="2123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</w:p>
        </w:tc>
        <w:tc>
          <w:tcPr>
            <w:tcW w:type="dxa" w:w="1737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0.0734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(0.0013)</w:t>
            </w:r>
          </w:p>
        </w:tc>
        <w:tc>
          <w:tcPr>
            <w:tcW w:type="dxa" w:w="115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7.1</m:t>
              </m:r>
              <m:r>
                <m:rPr>
                  <m:sty m:val="p"/>
                </m:rPr>
                <m:t>%</m:t>
              </m:r>
            </m:oMath>
          </w:p>
        </w:tc>
        <w:tc>
          <w:tcPr>
            <w:tcW w:type="dxa" w:w="77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0.0605</m:t>
              </m:r>
            </m:oMath>
          </w:p>
        </w:tc>
        <w:tc>
          <w:tcPr>
            <w:tcW w:type="dxa" w:w="115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5.9</m:t>
              </m:r>
              <m:r>
                <m:rPr>
                  <m:sty m:val="p"/>
                </m:rPr>
                <m:t>%</m:t>
              </m:r>
            </m:oMath>
          </w:p>
        </w:tc>
        <w:tc>
          <w:tcPr>
            <w:tcW w:type="dxa" w:w="77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0.0915</m:t>
              </m:r>
            </m:oMath>
          </w:p>
        </w:tc>
        <w:tc>
          <w:tcPr>
            <w:tcW w:type="dxa" w:w="135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8.7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>
            <w:tcW w:type="dxa" w:w="2123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0.50</m:t>
              </m:r>
            </m:oMath>
          </w:p>
        </w:tc>
        <w:tc>
          <w:tcPr>
            <w:tcW w:type="dxa" w:w="1737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0.0813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(0.0012)</w:t>
            </w:r>
          </w:p>
        </w:tc>
        <w:tc>
          <w:tcPr>
            <w:tcW w:type="dxa" w:w="115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7.8</m:t>
              </m:r>
              <m:r>
                <m:rPr>
                  <m:sty m:val="p"/>
                </m:rPr>
                <m:t>%</m:t>
              </m:r>
            </m:oMath>
          </w:p>
        </w:tc>
        <w:tc>
          <w:tcPr>
            <w:tcW w:type="dxa" w:w="77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0.0739</m:t>
              </m:r>
            </m:oMath>
          </w:p>
        </w:tc>
        <w:tc>
          <w:tcPr>
            <w:tcW w:type="dxa" w:w="115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7.1</m:t>
              </m:r>
              <m:r>
                <m:rPr>
                  <m:sty m:val="p"/>
                </m:rPr>
                <m:t>%</m:t>
              </m:r>
            </m:oMath>
          </w:p>
        </w:tc>
        <w:tc>
          <w:tcPr>
            <w:tcW w:type="dxa" w:w="77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0.0899</m:t>
              </m:r>
            </m:oMath>
          </w:p>
        </w:tc>
        <w:tc>
          <w:tcPr>
            <w:tcW w:type="dxa" w:w="135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8.6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>
            <w:tcW w:type="dxa" w:w="2123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</w:p>
        </w:tc>
        <w:tc>
          <w:tcPr>
            <w:tcW w:type="dxa" w:w="1737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0.1039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(0.0013)</w:t>
            </w:r>
          </w:p>
        </w:tc>
        <w:tc>
          <w:tcPr>
            <w:tcW w:type="dxa" w:w="115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9.9</m:t>
              </m:r>
              <m:r>
                <m:rPr>
                  <m:sty m:val="p"/>
                </m:rPr>
                <m:t>%</m:t>
              </m:r>
            </m:oMath>
          </w:p>
        </w:tc>
        <w:tc>
          <w:tcPr>
            <w:tcW w:type="dxa" w:w="77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0.1012</m:t>
              </m:r>
            </m:oMath>
          </w:p>
        </w:tc>
        <w:tc>
          <w:tcPr>
            <w:tcW w:type="dxa" w:w="115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9.6</m:t>
              </m:r>
              <m:r>
                <m:rPr>
                  <m:sty m:val="p"/>
                </m:rPr>
                <m:t>%</m:t>
              </m:r>
            </m:oMath>
          </w:p>
        </w:tc>
        <w:tc>
          <w:tcPr>
            <w:tcW w:type="dxa" w:w="77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0.1049</m:t>
              </m:r>
            </m:oMath>
          </w:p>
        </w:tc>
        <w:tc>
          <w:tcPr>
            <w:tcW w:type="dxa" w:w="135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10.0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>
            <w:tcW w:type="dxa" w:w="2123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0.90</m:t>
              </m:r>
            </m:oMath>
          </w:p>
        </w:tc>
        <w:tc>
          <w:tcPr>
            <w:tcW w:type="dxa" w:w="1737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0.1235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(0.0019)</w:t>
            </w:r>
          </w:p>
        </w:tc>
        <w:tc>
          <w:tcPr>
            <w:tcW w:type="dxa" w:w="115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11.6</m:t>
              </m:r>
              <m:r>
                <m:rPr>
                  <m:sty m:val="p"/>
                </m:rPr>
                <m:t>%</m:t>
              </m:r>
            </m:oMath>
          </w:p>
        </w:tc>
        <w:tc>
          <w:tcPr>
            <w:tcW w:type="dxa" w:w="77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0.1244</m:t>
              </m:r>
            </m:oMath>
          </w:p>
        </w:tc>
        <w:tc>
          <w:tcPr>
            <w:tcW w:type="dxa" w:w="115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11.7</m:t>
              </m:r>
              <m:r>
                <m:rPr>
                  <m:sty m:val="p"/>
                </m:rPr>
                <m:t>%</m:t>
              </m:r>
            </m:oMath>
          </w:p>
        </w:tc>
        <w:tc>
          <w:tcPr>
            <w:tcW w:type="dxa" w:w="77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0.1155</m:t>
              </m:r>
            </m:oMath>
          </w:p>
        </w:tc>
        <w:tc>
          <w:tcPr>
            <w:tcW w:type="dxa" w:w="135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10.9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>
            <w:tcW w:type="dxa" w:w="2123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</w:p>
        </w:tc>
        <w:tc>
          <w:tcPr>
            <w:tcW w:type="dxa" w:w="1737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0.1317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(0.0024)</w:t>
            </w:r>
          </w:p>
        </w:tc>
        <w:tc>
          <w:tcPr>
            <w:tcW w:type="dxa" w:w="115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12.3</m:t>
              </m:r>
              <m:r>
                <m:rPr>
                  <m:sty m:val="p"/>
                </m:rPr>
                <m:t>%</m:t>
              </m:r>
            </m:oMath>
          </w:p>
        </w:tc>
        <w:tc>
          <w:tcPr>
            <w:tcW w:type="dxa" w:w="77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0.1327</m:t>
              </m:r>
            </m:oMath>
          </w:p>
        </w:tc>
        <w:tc>
          <w:tcPr>
            <w:tcW w:type="dxa" w:w="115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12.4</m:t>
              </m:r>
              <m:r>
                <m:rPr>
                  <m:sty m:val="p"/>
                </m:rPr>
                <m:t>%</m:t>
              </m:r>
            </m:oMath>
          </w:p>
        </w:tc>
        <w:tc>
          <w:tcPr>
            <w:tcW w:type="dxa" w:w="77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0.1244</m:t>
              </m:r>
            </m:oMath>
          </w:p>
        </w:tc>
        <w:tc>
          <w:tcPr>
            <w:tcW w:type="dxa" w:w="135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11.7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>
            <w:tcW w:type="dxa" w:w="2123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Δ (q90−q10)</w:t>
            </w:r>
          </w:p>
        </w:tc>
        <w:tc>
          <w:tcPr>
            <w:tcW w:type="dxa" w:w="1737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b"/>
                </m:rPr>
                <m:t>−</m:t>
              </m:r>
              <m:r>
                <m:rPr>
                  <m:sty m:val="b"/>
                </m:rPr>
                <m:t>4.03</m:t>
              </m:r>
              <m:r>
                <m:rPr>
                  <m:nor/>
                  <m:sty m:val="p"/>
                </m:rPr>
                <m:t>pp</m:t>
              </m:r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(0.0024)</w:t>
            </w:r>
          </w:p>
        </w:tc>
        <w:tc>
          <w:tcPr>
            <w:tcW w:type="dxa" w:w="772"/>
            <w:gridSpan w:val="2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16.95</m:t>
              </m:r>
            </m:oMath>
          </w:p>
        </w:tc>
        <w:tc>
          <w:tcPr>
            <w:tcW w:type="dxa" w:w="772"/>
            <w:gridSpan w:val="2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1.84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64</m:t>
              </m:r>
            </m:oMath>
          </w:p>
        </w:tc>
        <w:tc>
          <w:tcPr>
            <w:tcW w:type="dxa" w:w="1351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</w:tr>
    </w:tbl>
    <w:bookmarkEnd w:id="65"/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pesquisa.</w:t>
      </w:r>
    </w:p>
    <w:bookmarkStart w:id="66" w:name="tab:rif_ob"/>
    <w:p>
      <w:pPr>
        <w:pStyle w:val="Tabl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Tabela 9. Decomposição RIF-OB (Firpo, Fortin &amp; Lemieux, 2018) do gap salarial racial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 quantil incondicional, em formato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two-fold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(referência: estrutura de preços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dos brancos). Dotações: diferença de características observáveis (capital humano, ocupação,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contexto). Retornos: parcela não explicada (componente discriminatório). Dotações + Retornos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gap em cada quantil. Padrão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sticky floor</w:t>
      </w:r>
      <w:r>
        <w:rPr>
          <w:rFonts w:ascii="Arial" w:hAnsi="Arial"/>
          <w:sz w:val="22"/>
        </w:rPr>
        <w:t xml:space="preserve">: o componente de retornos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(discriminação de mercado) é maior na base e decresce rumo ao topo. PNAD Contínua 2016–2025,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população completa. Entre parênteses: erro-padrão por bootstrap em blocos por UPA.</w:t>
      </w:r>
    </w:p>
    <w:tbl>
      <w:tblPr>
        <w:tblStyle w:val="Table"/>
        <w:tblW w:type="auto" w:w="0"/>
        <w:tblLayout w:type="fixed"/>
        <w:tblLook w:firstRow="1" w:lastRow="0" w:firstColumn="0" w:lastColumn="0" w:noHBand="0" w:noVBand="0" w:val="0020"/>
        <w:tblCaption w:val="Tabela 9. Decomposição RIF-OB (Firpo, Fortin &amp; Lemieux, 2018) do gap salarial racial por quantil incondicional, em formato two-fold (referência: estrutura de preços dos brancos). Dotações: diferença de características observáveis (capital humano, ocupação, contexto). Retornos: parcela não explicada (componente discriminatório). Dotações + Retornos =100\% do gap em cada quantil. Padrão sticky floor: o componente de retornos (discriminação de mercado) é maior na base e decresce rumo ao topo. PNAD Contínua 2016–2025, população completa. Entre parênteses: erro-padrão por bootstrap em blocos por UPA.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89"/>
        <w:gridCol w:w="2564"/>
        <w:gridCol w:w="1972"/>
        <w:gridCol w:w="1972"/>
        <w:gridCol w:w="1775"/>
      </w:tblGrid>
      <w:tr>
        <w:trPr>
          <w:tblHeader w:val="on"/>
        </w:trPr>
        <w:tc>
          <w:tcPr>
            <w:tcW w:type="dxa" w:w="789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Quantil</w:t>
            </w:r>
          </w:p>
        </w:tc>
        <w:tc>
          <w:tcPr>
            <w:tcW w:type="dxa" w:w="2564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Gap obs. (SE)</w:t>
            </w:r>
          </w:p>
        </w:tc>
        <w:tc>
          <w:tcPr>
            <w:tcW w:type="dxa" w:w="1972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Dotações (%)</w:t>
            </w:r>
          </w:p>
        </w:tc>
        <w:tc>
          <w:tcPr>
            <w:tcW w:type="dxa" w:w="1972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Retornos (%)</w:t>
            </w:r>
          </w:p>
        </w:tc>
        <w:tc>
          <w:tcPr>
            <w:tcW w:type="dxa" w:w="1775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m:oMath>
              <m:r>
                <m:t>N</m:t>
              </m:r>
            </m:oMath>
          </w:p>
        </w:tc>
      </w:tr>
      <w:tr>
        <w:tc>
          <w:tcPr>
            <w:tcW w:type="dxa" w:w="7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q10</w:t>
            </w:r>
          </w:p>
        </w:tc>
        <w:tc>
          <w:tcPr>
            <w:tcW w:type="dxa" w:w="2564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0,559 (0,007)</w:t>
            </w:r>
          </w:p>
        </w:tc>
        <w:tc>
          <w:tcPr>
            <w:tcW w:type="dxa" w:w="197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64,9 (0,8)</w:t>
            </w:r>
          </w:p>
        </w:tc>
        <w:tc>
          <w:tcPr>
            <w:tcW w:type="dxa" w:w="197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35,1 (0,7)</w:t>
            </w:r>
          </w:p>
        </w:tc>
        <w:tc>
          <w:tcPr>
            <w:tcW w:type="dxa" w:w="177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7.694.198</w:t>
            </w:r>
          </w:p>
        </w:tc>
      </w:tr>
      <w:tr>
        <w:tc>
          <w:tcPr>
            <w:tcW w:type="dxa" w:w="7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q25</w:t>
            </w:r>
          </w:p>
        </w:tc>
        <w:tc>
          <w:tcPr>
            <w:tcW w:type="dxa" w:w="2564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0,310 (0,009)</w:t>
            </w:r>
          </w:p>
        </w:tc>
        <w:tc>
          <w:tcPr>
            <w:tcW w:type="dxa" w:w="197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68,8 (0,9)</w:t>
            </w:r>
          </w:p>
        </w:tc>
        <w:tc>
          <w:tcPr>
            <w:tcW w:type="dxa" w:w="197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31,2 (0,6)</w:t>
            </w:r>
          </w:p>
        </w:tc>
        <w:tc>
          <w:tcPr>
            <w:tcW w:type="dxa" w:w="177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7.694.198</w:t>
            </w:r>
          </w:p>
        </w:tc>
      </w:tr>
      <w:tr>
        <w:tc>
          <w:tcPr>
            <w:tcW w:type="dxa" w:w="7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q50</w:t>
            </w:r>
          </w:p>
        </w:tc>
        <w:tc>
          <w:tcPr>
            <w:tcW w:type="dxa" w:w="2564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0,378 (0,008)</w:t>
            </w:r>
          </w:p>
        </w:tc>
        <w:tc>
          <w:tcPr>
            <w:tcW w:type="dxa" w:w="197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72,7 (0,9)</w:t>
            </w:r>
          </w:p>
        </w:tc>
        <w:tc>
          <w:tcPr>
            <w:tcW w:type="dxa" w:w="197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27,3 (0,4)</w:t>
            </w:r>
          </w:p>
        </w:tc>
        <w:tc>
          <w:tcPr>
            <w:tcW w:type="dxa" w:w="177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7.694.198</w:t>
            </w:r>
          </w:p>
        </w:tc>
      </w:tr>
      <w:tr>
        <w:tc>
          <w:tcPr>
            <w:tcW w:type="dxa" w:w="7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q75</w:t>
            </w:r>
          </w:p>
        </w:tc>
        <w:tc>
          <w:tcPr>
            <w:tcW w:type="dxa" w:w="2564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0,470 (0,010)</w:t>
            </w:r>
          </w:p>
        </w:tc>
        <w:tc>
          <w:tcPr>
            <w:tcW w:type="dxa" w:w="197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75,5 (1,1)</w:t>
            </w:r>
          </w:p>
        </w:tc>
        <w:tc>
          <w:tcPr>
            <w:tcW w:type="dxa" w:w="197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24,5 (0,4)</w:t>
            </w:r>
          </w:p>
        </w:tc>
        <w:tc>
          <w:tcPr>
            <w:tcW w:type="dxa" w:w="177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7.694.198</w:t>
            </w:r>
          </w:p>
        </w:tc>
      </w:tr>
      <w:tr>
        <w:tc>
          <w:tcPr>
            <w:tcW w:type="dxa" w:w="789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q90</w:t>
            </w:r>
          </w:p>
        </w:tc>
        <w:tc>
          <w:tcPr>
            <w:tcW w:type="dxa" w:w="2564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0,483 (0,011)</w:t>
            </w:r>
          </w:p>
        </w:tc>
        <w:tc>
          <w:tcPr>
            <w:tcW w:type="dxa" w:w="1972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87,1 (1,9)</w:t>
            </w:r>
          </w:p>
        </w:tc>
        <w:tc>
          <w:tcPr>
            <w:tcW w:type="dxa" w:w="1972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12,9 (0,9)</w:t>
            </w:r>
          </w:p>
        </w:tc>
        <w:tc>
          <w:tcPr>
            <w:tcW w:type="dxa" w:w="1775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7.694.198</w:t>
            </w:r>
          </w:p>
        </w:tc>
      </w:tr>
    </w:tbl>
    <w:bookmarkEnd w:id="66"/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Figura 6 põe os dois ângulos lado a lado.</w:t>
      </w:r>
    </w:p>
    <w:bookmarkStart w:id="70" w:name="fig:qr_rif"/>
    <w:p>
      <w:pPr>
        <w:pStyle w:val="CaptionedFigure"/>
      </w:pPr>
      <w:r>
        <w:rPr>
          <w:rFonts w:ascii="Arial" w:hAnsi="Arial"/>
          <w:sz w:val="22"/>
        </w:rPr>
        <w:drawing>
          <wp:inline>
            <wp:extent cx="5638038" cy="2163165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outputs/figures/fig_qr_rif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038" cy="21631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Figura 6. Teto de vidro e piso pegajoso são o mesmo fenômeno visto de dois ângulos. À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esquerda, a penalidade em quantis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condicionais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cresce rumo ao topo (faixa: IC 95%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 bootstrap em blocos de UPA); à direita, a parcela não explicada dos quantis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incondicionais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renda é maior na base.</w:t>
      </w:r>
    </w:p>
    <w:bookmarkEnd w:id="70"/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Nota: como ler a Figura 6: à esquerda, cada ponto é a penalidade racial estimada num quantil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condicional</w:t>
      </w:r>
      <w:r>
        <w:rPr>
          <w:rFonts w:ascii="Arial" w:hAnsi="Arial"/>
          <w:sz w:val="22"/>
        </w:rPr>
        <w:t xml:space="preserve"> </w:t>
      </w:r>
      <m:oMath>
        <m:r>
          <m:t>τ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(eixo vertical em log-pontos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×</m:t>
        </m:r>
        <m:r>
          <m:t>100</m:t>
        </m:r>
      </m:oMath>
      <w:r>
        <w:rPr>
          <w:rFonts w:ascii="Arial" w:hAnsi="Arial"/>
          <w:sz w:val="22"/>
        </w:rPr>
        <w:t xml:space="preserve">), e a faixa é o intervalo de 95% por bootstrap em blocos de UPA. À direita, cada barra é um quantil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incondicional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renda e soma 100%: a parte azul é a parcela não explicada, com o valor escrito dentro.</w:t>
      </w:r>
    </w:p>
    <w:bookmarkEnd w:id="71"/>
    <w:bookmarkStart w:id="78" w:name="subsec:glmm_resultados"/>
    <w:p>
      <w:pPr>
        <w:pStyle w:val="Ttulo2"/>
        <w:spacing w:line="360" w:lineRule="auto" w:before="280" w:after="280"/>
        <w:ind w:firstLine="709"/>
        <w:jc w:val="left"/>
      </w:pPr>
      <w:r>
        <w:rPr>
          <w:rFonts w:ascii="Arial" w:hAnsi="Arial"/>
          <w:b/>
          <w:sz w:val="22"/>
        </w:rPr>
        <w:t xml:space="preserve">GLMM logístico: o teto de vidro no acesso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O modelo logístico multinível (</w:t>
      </w:r>
      <w:r>
        <w:rPr>
          <w:rStyle w:val="VerbatimChar"/>
          <w:rFonts w:ascii="Arial" w:hAnsi="Arial"/>
          <w:sz w:val="22"/>
        </w:rPr>
        <w:t xml:space="preserve">lme4::glmer</w:t>
      </w:r>
      <w:r>
        <w:rPr>
          <w:rFonts w:ascii="Arial" w:hAnsi="Arial"/>
          <w:sz w:val="22"/>
        </w:rPr>
        <w:t xml:space="preserve">, intercepto aleatório de UPA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efeitos fixos de UF, estimado por Laplace na população completa) modela a probabilidade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três desfechos — cargo qualificado (CBO 1–4), renda no top 20% e no top 10% —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quatro degraus paralelos aos do HLM: M1 individual, M2 + contexto do bairro, M3 +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vínculo (formalidade, setor público, conta própria, doméstico —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bad controls</w:t>
      </w:r>
      <w:r>
        <w:rPr>
          <w:rFonts w:ascii="Arial" w:hAnsi="Arial"/>
          <w:sz w:val="22"/>
        </w:rPr>
        <w:t xml:space="preserve">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logo limite inferior) e M4 + interação</w:t>
      </w:r>
      <w:r>
        <w:rPr>
          <w:rFonts w:ascii="Arial" w:hAnsi="Arial"/>
          <w:sz w:val="22"/>
        </w:rPr>
        <w:t xml:space="preserve"> </w:t>
      </w:r>
      <w:r>
        <w:rPr>
          <w:rStyle w:val="VerbatimChar"/>
          <w:rFonts w:ascii="Arial" w:hAnsi="Arial"/>
          <w:sz w:val="22"/>
        </w:rPr>
        <w:t xml:space="preserve">negro</w:t>
      </w:r>
      <m:oMath>
        <m:r>
          <m:rPr>
            <m:sty m:val="p"/>
          </m:rPr>
          <m:t>×</m:t>
        </m:r>
      </m:oMath>
      <w:r>
        <w:rPr>
          <w:rFonts w:ascii="Arial" w:hAnsi="Arial"/>
          <w:sz w:val="22"/>
        </w:rPr>
        <w:t xml:space="preserve">credencial.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Tabela 10 traz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odds ratios</w:t>
      </w:r>
      <w:r>
        <w:rPr>
          <w:rFonts w:ascii="Arial" w:hAnsi="Arial"/>
          <w:sz w:val="22"/>
        </w:rPr>
        <w:t xml:space="preserve">, efeitos marginais, ICC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E-values; a Tabela 11, o ajuste e o desempenho de classificação.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O acesso também é</w:t>
      </w:r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“bairro”</w:t>
      </w:r>
      <w:r>
        <w:rPr>
          <w:rFonts w:ascii="Arial" w:hAnsi="Arial"/>
          <w:b/>
          <w:bCs/>
          <w:sz w:val="22"/>
        </w:rPr>
        <w:t xml:space="preserve">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No M1, a correlação intraclasse latente é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0,198 para o cargo qualificado e 0,350 para o top 10%: entre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20% e 35% da variância latente do acesso está entre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bairros. O teste de razão de verossimilhança do M2 contra o logit sem efeito aleatório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(LR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411.007 para o cargo; 337.418 para o top 10%, 1 g.l.,</w:t>
      </w:r>
      <w:r>
        <w:rPr>
          <w:rFonts w:ascii="Arial" w:hAnsi="Arial"/>
          <w:sz w:val="22"/>
        </w:rP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rPr>
          <w:rFonts w:ascii="Arial" w:hAnsi="Arial"/>
          <w:sz w:val="22"/>
        </w:rPr>
        <w:t xml:space="preserve">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mostra que o efeito aleatório de UPA é indispensável — o logit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pooled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trataria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como independentes pessoas do mesmo mercado local.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A porta é mais estreita para negros — e mais ainda no topo.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No M2,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controlados escolaridade, sexo, idade, horas, estado e contexto do bairro, a chance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um trabalhador negro ocupar cargo qualificado é OR </w:t>
      </w:r>
      <m:oMath>
        <m:r>
          <m:rPr>
            <m:sty m:val="p"/>
          </m:rPr>
          <m:t>=</m:t>
        </m:r>
      </m:oMath>
      <w:r>
        <w:rPr>
          <w:rFonts w:ascii="Arial" w:hAnsi="Arial"/>
          <w:sz w:val="22"/>
        </w:rPr>
        <w:t xml:space="preserve"> 0,699 (IC 95%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0,696–0,702) da de um branco do mesmo bairro —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30% menos</w:t>
      </w:r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chance</w:t>
      </w:r>
      <w:r>
        <w:rPr>
          <w:rFonts w:ascii="Arial" w:hAnsi="Arial"/>
          <w:sz w:val="22"/>
        </w:rPr>
        <w:t xml:space="preserve">, ou 5,5 pontos percentuais de probabilidade. No top 20% da renda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OR é 0,688 e no top 10%, 0,654 (35% menos chance):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teto se aperta à medida que se sobe. Nota: OR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&lt;</m:t>
        </m:r>
        <m:r>
          <m:t>1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desvantagem; o AME traduz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OR em probabilidade e é a medida a reter (MHE, cap. 3).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Vínculo e credencial não desfazem a barreira.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Descontar o vínculo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empregatício (M3) muda pouco o OR do cargo qualificado (0,691) e do top 10%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(0,656): a barreira não é um artefato da informalidade. No M4, a interação com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credencial é OR </w:t>
      </w:r>
      <m:oMath>
        <m:r>
          <m:rPr>
            <m:sty m:val="p"/>
          </m:rPr>
          <m:t>=</m:t>
        </m:r>
      </m:oMath>
      <w:r>
        <w:rPr>
          <w:rFonts w:ascii="Arial" w:hAnsi="Arial"/>
          <w:sz w:val="22"/>
        </w:rPr>
        <w:t xml:space="preserve"> 1,069 para o superior completo e 1,060 para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pós-graduação: o diploma atenua a penalidade sem eliminá-la, e o OR combinado do negro com superior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completo é 0,735 — a credencial não neutraliza a barreira de acesso. A Figura 7 reúne as razões de chance dos três desfechos e dos modelos de cada um.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Ajuste e classificação.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M2 discrimina bem os desfechos: AUC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0,831 (com efeitos aleatórios) e 0,790 (só efeitos fixos) para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cargo qualificado; no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cutoff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Youden (0,30) a sensibilidade 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0,82 e a especificidade 0,68. O teste de Hosmer–Lemeshow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rejeita a calibração perfeita em todos os degraus — inevitável com</w:t>
      </w:r>
      <w:r>
        <w:rPr>
          <w:rFonts w:ascii="Arial" w:hAnsi="Arial"/>
          <w:sz w:val="22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7</m:t>
        </m:r>
      </m:oMath>
      <w:r>
        <w:rPr>
          <w:rFonts w:ascii="Arial" w:hAnsi="Arial"/>
          <w:sz w:val="22"/>
        </w:rPr>
        <w:t xml:space="preserve"> milhões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(MHE, cap. 8) —, mas a estatística cai a cerca de metade quando se acrescenta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vínculo (M3), sinal de calibração melhor; entre M1 e M2 ela praticamente não muda. O logit com efeitos fixos de UF e erro-padrão agrupado por UPA (última coluna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Tabela 10) reproduz os OR do GLMM: a conclusão não depende 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hipótese de efeitos aleatórios.</w:t>
      </w:r>
    </w:p>
    <w:bookmarkStart w:id="75" w:name="fig:glmm_or"/>
    <w:p>
      <w:pPr>
        <w:pStyle w:val="CaptionedFigure"/>
      </w:pPr>
      <w:r>
        <w:rPr>
          <w:rFonts w:ascii="Arial" w:hAnsi="Arial"/>
          <w:sz w:val="22"/>
        </w:rPr>
        <w:drawing>
          <wp:inline>
            <wp:extent cx="5465445" cy="2536151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outputs/figures/fig_glmm_or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5445" cy="2536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Figura 7. A porta é mais estreita para trabalhadores negros — e estreita ainda mais no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topo da renda. Razão de chances de acesso (negro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vs.</w:t>
      </w:r>
      <w:r>
        <w:rPr>
          <w:rFonts w:ascii="Arial" w:hAnsi="Arial"/>
          <w:sz w:val="22"/>
        </w:rPr>
        <w:t xml:space="preserve"> branco do mesmo bairro) com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IC 95%, por desfecho e degrau; em azul, o modelo com contexto de bairro (M2).</w:t>
      </w:r>
    </w:p>
    <w:bookmarkEnd w:id="75"/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Nota: como ler a Figura 7: cada ponto é uma razão de chances e a linha horizontal, seu intervalo de confiança de 95%; a linha tracejada em 1 marca a paridade, de modo que quanto mais à esquerda, maior a desvantagem. Os blocos são os três desfechos e, dentro de cada um, os modelos; em azul, o M2, que compara pessoas do mesmo bairro.</w:t>
      </w:r>
    </w:p>
    <w:bookmarkStart w:id="76" w:name="tab:glmm_glassceil"/>
    <w:p>
      <w:pPr>
        <w:pStyle w:val="Tabl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Tabela 10. GLMM logístico (lme4::</w:t>
      </w:r>
      <w:r>
        <w:rPr>
          <w:rStyle w:val="VerbatimChar"/>
          <w:rFonts w:ascii="Arial" w:hAnsi="Arial"/>
          <w:sz w:val="22"/>
        </w:rPr>
        <w:t xml:space="preserve">glmer</w:t>
      </w:r>
      <w:r>
        <w:rPr>
          <w:rFonts w:ascii="Arial" w:hAnsi="Arial"/>
          <w:sz w:val="22"/>
        </w:rPr>
        <w:t xml:space="preserve">, intercepto aleatório de UPA e efeitos fixos de UF) — teto de vidro ocupacional e salarial.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Odds ratio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coeficiente</w:t>
      </w:r>
      <w:r>
        <w:rPr>
          <w:rFonts w:ascii="Arial" w:hAnsi="Arial"/>
          <w:sz w:val="22"/>
        </w:rPr>
        <w:t xml:space="preserve"> </w:t>
      </w:r>
      <w:r>
        <w:rPr>
          <w:rStyle w:val="VerbatimChar"/>
          <w:rFonts w:ascii="Arial" w:hAnsi="Arial"/>
          <w:sz w:val="22"/>
        </w:rPr>
        <w:t xml:space="preserve">negro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 IC 95%, efeito marginal médio (AME: diferença média de probabilidade predita, em pontos percentuais), ICC da UPA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 E-value (VanderWeele &amp; Ding, 2017). Coluna final: OR do logit com efeitos fixos de UF e erro-padrão agrupado por UPA (robustez). População completa da PEA com renda positiva (</w:t>
      </w:r>
      <m:oMath>
        <m:r>
          <m:t>N</m:t>
        </m:r>
        <m:r>
          <m:rPr>
            <m:sty m:val="p"/>
          </m:rPr>
          <m:t>=</m:t>
        </m:r>
        <m:r>
          <m:t>7.694</m:t>
        </m:r>
        <m:r>
          <m:t>.198</m:t>
        </m:r>
      </m:oMath>
      <w:r>
        <w:rPr>
          <w:rFonts w:ascii="Arial" w:hAnsi="Arial"/>
          <w:sz w:val="22"/>
        </w:rPr>
        <w:t xml:space="preserve">; 40.969 UPAs). M3 acrescenta o vínculo (formalidade, setor público, conta própria, doméstico), que é desfecho da própria discriminação: limite inferior. Todos os OR com</w:t>
      </w:r>
      <w:r>
        <w:rPr>
          <w:rFonts w:ascii="Arial" w:hAnsi="Arial"/>
          <w:sz w:val="22"/>
        </w:rP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rPr>
          <w:rFonts w:ascii="Arial" w:hAnsi="Arial"/>
          <w:sz w:val="22"/>
        </w:rPr>
        <w:t xml:space="preserve">; com</w:t>
      </w:r>
      <w:r>
        <w:rPr>
          <w:rFonts w:ascii="Arial" w:hAnsi="Arial"/>
          <w:sz w:val="22"/>
        </w:rPr>
        <w:t xml:space="preserve"> </w:t>
      </w:r>
      <m:oMath>
        <m:r>
          <m:t>N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desta ordem, a inferência relevante está nos IC e nos E-values.</w:t>
      </w:r>
    </w:p>
    <w:tbl>
      <w:tblPr>
        <w:tblStyle w:val="Table"/>
        <w:tblW w:type="auto" w:w="0"/>
        <w:tblLayout w:type="fixed"/>
        <w:tblLook w:firstRow="1" w:lastRow="0" w:firstColumn="0" w:lastColumn="0" w:noHBand="0" w:noVBand="0" w:val="0020"/>
        <w:tblCaption w:val="Tabela 10. GLMM logístico (lme4::glmer, intercepto aleatório de UPA e efeitos fixos de UF) — teto de vidro ocupacional e salarial. Odds ratio do coeficiente negro com IC 95%, efeito marginal médio (AME: diferença média de probabilidade predita, em pontos percentuais), ICC da UPA =\tau^2/(\tau^2+\pi^2/3) e E-value (VanderWeele &amp; Ding, 2017). Coluna final: OR do logit com efeitos fixos de UF e erro-padrão agrupado por UPA (robustez). População completa da PEA com renda positiva (N = 7.694.198; 40.969 UPAs). M3 acrescenta o vínculo (formalidade, setor público, conta própria, doméstico), que é desfecho da própria discriminação: limite inferior. Todos os OR com p&lt;0{,}001; com N desta ordem, a inferência relevante está nos IC e nos E-values.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681"/>
        <w:gridCol w:w="2731"/>
        <w:gridCol w:w="2101"/>
        <w:gridCol w:w="525"/>
        <w:gridCol w:w="525"/>
        <w:gridCol w:w="491"/>
        <w:gridCol w:w="491"/>
        <w:gridCol w:w="525"/>
      </w:tblGrid>
      <w:tr>
        <w:trPr>
          <w:tblHeader w:val="on"/>
        </w:trPr>
        <w:tc>
          <w:tcPr>
            <w:tcW w:type="dxa" w:w="1681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Desfecho</w:t>
            </w:r>
          </w:p>
        </w:tc>
        <w:tc>
          <w:tcPr>
            <w:tcW w:type="dxa" w:w="2731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Modelo</w:t>
            </w:r>
          </w:p>
        </w:tc>
        <w:tc>
          <w:tcPr>
            <w:tcW w:type="dxa" w:w="2101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OR (IC 95%)</w:t>
            </w:r>
          </w:p>
        </w:tc>
        <w:tc>
          <w:tcPr>
            <w:tcW w:type="dxa" w:w="525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AME (p.p.)</w:t>
            </w:r>
          </w:p>
        </w:tc>
        <w:tc>
          <w:tcPr>
            <w:tcW w:type="dxa" w:w="525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ICC</w:t>
            </w:r>
            <m:oMath>
              <m:sSub>
                <m:e>
                  <m:r>
                    <m:t>​</m:t>
                  </m:r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</m:sSub>
            </m:oMath>
          </w:p>
        </w:tc>
        <w:tc>
          <w:tcPr>
            <w:tcW w:type="dxa" w:w="491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E-value</w:t>
            </w:r>
          </w:p>
        </w:tc>
        <w:tc>
          <w:tcPr>
            <w:tcW w:type="dxa" w:w="491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E-value (IC)</w:t>
            </w:r>
          </w:p>
        </w:tc>
        <w:tc>
          <w:tcPr>
            <w:tcW w:type="dxa" w:w="525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OR logit-FE</w:t>
            </w:r>
          </w:p>
        </w:tc>
      </w:tr>
      <w:tr>
        <w:tc>
          <w:tcPr>
            <w:tcW w:type="dxa" w:w="1681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Cargo qualificado (CBO 1–4)</w:t>
            </w:r>
          </w:p>
        </w:tc>
        <w:tc>
          <w:tcPr>
            <w:tcW w:type="dxa" w:w="273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M1 individual + UF</w:t>
            </w:r>
          </w:p>
        </w:tc>
        <w:tc>
          <w:tcPr>
            <w:tcW w:type="dxa" w:w="210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0,691 [0,688; 0,694]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−5,68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0,198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2,25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2,24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0,555</w:t>
            </w:r>
          </w:p>
        </w:tc>
      </w:tr>
      <w:tr>
        <w:tc>
          <w:tcPr>
            <w:tcW w:type="dxa" w:w="1681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273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M2 + contexto do bairro</w:t>
            </w:r>
          </w:p>
        </w:tc>
        <w:tc>
          <w:tcPr>
            <w:tcW w:type="dxa" w:w="210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0,699 [0,696; 0,702]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−5,49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0,159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2,21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2,20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0,705</w:t>
            </w:r>
          </w:p>
        </w:tc>
      </w:tr>
      <w:tr>
        <w:tc>
          <w:tcPr>
            <w:tcW w:type="dxa" w:w="1681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273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M3 + vínculo (limite inf.)</w:t>
            </w:r>
          </w:p>
        </w:tc>
        <w:tc>
          <w:tcPr>
            <w:tcW w:type="dxa" w:w="210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0,691 [0,688; 0,694]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−4,79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0,162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2,25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2,24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0,705</w:t>
            </w:r>
          </w:p>
        </w:tc>
      </w:tr>
      <w:tr>
        <w:tc>
          <w:tcPr>
            <w:tcW w:type="dxa" w:w="1681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273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M4 + negro</w:t>
            </w:r>
            <m:oMath>
              <m:r>
                <m:rPr>
                  <m:sty m:val="p"/>
                </m:rPr>
                <m:t>×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credencial</w:t>
            </w:r>
          </w:p>
        </w:tc>
        <w:tc>
          <w:tcPr>
            <w:tcW w:type="dxa" w:w="210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0,688 [0,684; 0,691]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−4,79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0,162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2,27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2,25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0,699</w:t>
            </w:r>
          </w:p>
        </w:tc>
      </w:tr>
      <w:tr>
        <w:tc>
          <w:tcPr>
            <w:tcW w:type="dxa" w:w="1681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Top 20% de renda</w:t>
            </w:r>
          </w:p>
        </w:tc>
        <w:tc>
          <w:tcPr>
            <w:tcW w:type="dxa" w:w="273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M1 individual + UF</w:t>
            </w:r>
          </w:p>
        </w:tc>
        <w:tc>
          <w:tcPr>
            <w:tcW w:type="dxa" w:w="210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0,680 [0,677; 0,683]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−4,89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0,281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2,30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2,29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0,540</w:t>
            </w:r>
          </w:p>
        </w:tc>
      </w:tr>
      <w:tr>
        <w:tc>
          <w:tcPr>
            <w:tcW w:type="dxa" w:w="1681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273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M2 + contexto do bairro</w:t>
            </w:r>
          </w:p>
        </w:tc>
        <w:tc>
          <w:tcPr>
            <w:tcW w:type="dxa" w:w="210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0,688 [0,685; 0,691]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−4,74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0,219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2,27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2,25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0,691</w:t>
            </w:r>
          </w:p>
        </w:tc>
      </w:tr>
      <w:tr>
        <w:tc>
          <w:tcPr>
            <w:tcW w:type="dxa" w:w="1681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273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M3 + vínculo (limite inf.)</w:t>
            </w:r>
          </w:p>
        </w:tc>
        <w:tc>
          <w:tcPr>
            <w:tcW w:type="dxa" w:w="210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0,690 [0,687; 0,693]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−4,43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0,227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2,26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2,24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0,691</w:t>
            </w:r>
          </w:p>
        </w:tc>
      </w:tr>
      <w:tr>
        <w:tc>
          <w:tcPr>
            <w:tcW w:type="dxa" w:w="1681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273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M4 + negro</w:t>
            </w:r>
            <m:oMath>
              <m:r>
                <m:rPr>
                  <m:sty m:val="p"/>
                </m:rPr>
                <m:t>×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credencial</w:t>
            </w:r>
          </w:p>
        </w:tc>
        <w:tc>
          <w:tcPr>
            <w:tcW w:type="dxa" w:w="210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0,689 [0,685; 0,692]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−4,43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0,227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2,26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2,25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0,694</w:t>
            </w:r>
          </w:p>
        </w:tc>
      </w:tr>
      <w:tr>
        <w:tc>
          <w:tcPr>
            <w:tcW w:type="dxa" w:w="1681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Top 10% de renda</w:t>
            </w:r>
          </w:p>
        </w:tc>
        <w:tc>
          <w:tcPr>
            <w:tcW w:type="dxa" w:w="273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M1 individual + UF</w:t>
            </w:r>
          </w:p>
        </w:tc>
        <w:tc>
          <w:tcPr>
            <w:tcW w:type="dxa" w:w="210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0,643 [0,639; 0,647]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−3,10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0,350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2,49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2,46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0,457</w:t>
            </w:r>
          </w:p>
        </w:tc>
      </w:tr>
      <w:tr>
        <w:tc>
          <w:tcPr>
            <w:tcW w:type="dxa" w:w="1681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273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M2 + contexto do bairro</w:t>
            </w:r>
          </w:p>
        </w:tc>
        <w:tc>
          <w:tcPr>
            <w:tcW w:type="dxa" w:w="210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0,654 [0,650; 0,659]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−2,97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0,262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2,43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2,41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0,656</w:t>
            </w:r>
          </w:p>
        </w:tc>
      </w:tr>
      <w:tr>
        <w:tc>
          <w:tcPr>
            <w:tcW w:type="dxa" w:w="1681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273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M3 + vínculo (limite inf.)</w:t>
            </w:r>
          </w:p>
        </w:tc>
        <w:tc>
          <w:tcPr>
            <w:tcW w:type="dxa" w:w="210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0,656 [0,651; 0,660]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−2,80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0,265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2,42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2,40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0,656</w:t>
            </w:r>
          </w:p>
        </w:tc>
      </w:tr>
      <w:tr>
        <w:tc>
          <w:tcPr>
            <w:tcW w:type="dxa" w:w="1681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2731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M4 + negro</w:t>
            </w:r>
            <m:oMath>
              <m:r>
                <m:rPr>
                  <m:sty m:val="p"/>
                </m:rPr>
                <m:t>×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credencial</w:t>
            </w:r>
          </w:p>
        </w:tc>
        <w:tc>
          <w:tcPr>
            <w:tcW w:type="dxa" w:w="2101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0,661 [0,657; 0,666]</w:t>
            </w:r>
          </w:p>
        </w:tc>
        <w:tc>
          <w:tcPr>
            <w:tcW w:type="dxa" w:w="525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−2,80</w:t>
            </w:r>
          </w:p>
        </w:tc>
        <w:tc>
          <w:tcPr>
            <w:tcW w:type="dxa" w:w="525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0,265</w:t>
            </w:r>
          </w:p>
        </w:tc>
        <w:tc>
          <w:tcPr>
            <w:tcW w:type="dxa" w:w="491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2,39</w:t>
            </w:r>
          </w:p>
        </w:tc>
        <w:tc>
          <w:tcPr>
            <w:tcW w:type="dxa" w:w="491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2,37</w:t>
            </w:r>
          </w:p>
        </w:tc>
        <w:tc>
          <w:tcPr>
            <w:tcW w:type="dxa" w:w="525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0,664</w:t>
            </w:r>
          </w:p>
        </w:tc>
      </w:tr>
    </w:tbl>
    <w:bookmarkEnd w:id="76"/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: OR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&lt;</m:t>
        </m:r>
        <m:r>
          <m:t>1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= menor chance de acesso para trabalhadores negros do que para brancos de mesmo perfil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e do mesmo bairro</w:t>
      </w:r>
      <w:r>
        <w:rPr>
          <w:rFonts w:ascii="Arial" w:hAnsi="Arial"/>
          <w:sz w:val="22"/>
        </w:rPr>
        <w:t xml:space="preserve">; quanto mais perto de zero, maior a barreira. O E-value é a força mínima de associação (razão de risco) que um confundidor não observado precisaria ter com a raça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 o desfecho para anular o OR; o E-value (IC) faz o mesmo para o limite do intervalo. A coluna logit-FE mostra que a conclusão não depende da hipótese de efeitos aleatórios.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pesquisa.</w:t>
      </w:r>
    </w:p>
    <w:bookmarkStart w:id="77" w:name="tab:glmm_ajuste"/>
    <w:p>
      <w:pPr>
        <w:pStyle w:val="Tabl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Tabela 11. GLMM logístico — ajuste e desempenho de classificação por degrau. LR vs. pooled: teste de razão de verossimilhança do M2 contra o logit sem efeito aleatório (fronteira,</w:t>
      </w:r>
      <w:r>
        <w:rPr>
          <w:rFonts w:ascii="Arial" w:hAnsi="Arial"/>
          <w:sz w:val="22"/>
        </w:rPr>
        <w:t xml:space="preserve"> </w:t>
      </w:r>
      <m:oMath>
        <m:r>
          <m:t>p</m:t>
        </m:r>
        <m:r>
          <m:rPr>
            <m:sty m:val="p"/>
          </m:rPr>
          <m:t>/</m:t>
        </m:r>
        <m:r>
          <m:t>2</m:t>
        </m:r>
      </m:oMath>
      <w:r>
        <w:rPr>
          <w:rFonts w:ascii="Arial" w:hAnsi="Arial"/>
          <w:sz w:val="22"/>
        </w:rPr>
        <w:t xml:space="preserve">); AUC com efeitos aleatórios (ajuste na amostra) e só com efeitos fixos;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cutoff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Youden (maximiza sensibilidade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+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especificidade) com as taxas correspondentes; Hosmer–Lemeshow em 10 decis. Com</w:t>
      </w:r>
      <w:r>
        <w:rPr>
          <w:rFonts w:ascii="Arial" w:hAnsi="Arial"/>
          <w:sz w:val="22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7</m:t>
        </m:r>
      </m:oMath>
      <w:r>
        <w:rPr>
          <w:rFonts w:ascii="Arial" w:hAnsi="Arial"/>
          <w:sz w:val="22"/>
        </w:rPr>
        <w:t xml:space="preserve"> milhões qualquer desvio de calibração 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“significativo”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 o</w:t>
      </w:r>
      <w:r>
        <w:rPr>
          <w:rFonts w:ascii="Arial" w:hAnsi="Arial"/>
          <w:sz w:val="22"/>
        </w:rP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deve ser lido como magnitude relativa entre degraus, não como teste (MHE, cap. 8).</w:t>
      </w:r>
    </w:p>
    <w:tbl>
      <w:tblPr>
        <w:tblStyle w:val="Table"/>
        <w:tblW w:type="auto" w:w="0"/>
        <w:tblLayout w:type="fixed"/>
        <w:tblLook w:firstRow="1" w:lastRow="0" w:firstColumn="0" w:lastColumn="0" w:noHBand="0" w:noVBand="0" w:val="0020"/>
        <w:tblCaption w:val="Tabela 11. GLMM logístico — ajuste e desempenho de classificação por degrau. LR vs. pooled: teste de razão de verossimilhança do M2 contra o logit sem efeito aleatório (fronteira, p/2); AUC com efeitos aleatórios (ajuste na amostra) e só com efeitos fixos; cutoff de Youden (maximiza sensibilidade + especificidade) com as taxas correspondentes; Hosmer–Lemeshow em 10 decis. Com N = 7{,}7 milhões qualquer desvio de calibração é “significativo” — o \chi^2 deve ser lido como magnitude relativa entre degraus, não como teste (MHE, cap. 8).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498"/>
        <w:gridCol w:w="2434"/>
        <w:gridCol w:w="842"/>
        <w:gridCol w:w="842"/>
        <w:gridCol w:w="655"/>
        <w:gridCol w:w="489"/>
        <w:gridCol w:w="489"/>
        <w:gridCol w:w="489"/>
        <w:gridCol w:w="842"/>
        <w:gridCol w:w="489"/>
      </w:tblGrid>
      <w:tr>
        <w:trPr>
          <w:tblHeader w:val="on"/>
        </w:trPr>
        <w:tc>
          <w:tcPr>
            <w:tcW w:type="dxa" w:w="1498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Desfecho</w:t>
            </w:r>
          </w:p>
        </w:tc>
        <w:tc>
          <w:tcPr>
            <w:tcW w:type="dxa" w:w="2434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Modelo</w:t>
            </w:r>
          </w:p>
        </w:tc>
        <w:tc>
          <w:tcPr>
            <w:tcW w:type="dxa" w:w="842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LL</w:t>
            </w:r>
          </w:p>
        </w:tc>
        <w:tc>
          <w:tcPr>
            <w:tcW w:type="dxa" w:w="842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AIC</w:t>
            </w:r>
          </w:p>
        </w:tc>
        <w:tc>
          <w:tcPr>
            <w:tcW w:type="dxa" w:w="655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LR vs. pooled</w:t>
            </w:r>
          </w:p>
        </w:tc>
        <w:tc>
          <w:tcPr>
            <w:tcW w:type="dxa" w:w="489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AUC (RE)</w:t>
            </w:r>
          </w:p>
        </w:tc>
        <w:tc>
          <w:tcPr>
            <w:tcW w:type="dxa" w:w="489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AUC (FE)</w:t>
            </w:r>
          </w:p>
        </w:tc>
        <w:tc>
          <w:tcPr>
            <w:tcW w:type="dxa" w:w="489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Cutoff</w:t>
            </w:r>
          </w:p>
        </w:tc>
        <w:tc>
          <w:tcPr>
            <w:tcW w:type="dxa" w:w="842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Sens./Espec.</w:t>
            </w:r>
          </w:p>
        </w:tc>
        <w:tc>
          <w:tcPr>
            <w:tcW w:type="dxa" w:w="489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HL</w:t>
            </w:r>
            <w:r>
              <w:rPr>
                <w:rFonts w:ascii="Arial" w:hAnsi="Arial"/>
                <w:b w:val="0"/>
                <w:sz w:val="22"/>
              </w:rP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>
            <w:tcW w:type="dxa" w:w="1498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Cargo qualificado (CBO 1–4)</w:t>
            </w:r>
          </w:p>
        </w:tc>
        <w:tc>
          <w:tcPr>
            <w:tcW w:type="dxa" w:w="243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M1 individual + UF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7.068.424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7.068.498</w:t>
            </w:r>
          </w:p>
        </w:tc>
        <w:tc>
          <w:tcPr>
            <w:tcW w:type="dxa" w:w="655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0,831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0,766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0,30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0,82/0,68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8.378</w:t>
            </w:r>
          </w:p>
        </w:tc>
      </w:tr>
      <w:tr>
        <w:tc>
          <w:tcPr>
            <w:tcW w:type="dxa" w:w="1498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243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M2 + contexto do bairro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7.059.978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7.060.058</w:t>
            </w:r>
          </w:p>
        </w:tc>
        <w:tc>
          <w:tcPr>
            <w:tcW w:type="dxa" w:w="65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411.007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0,831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0,790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0,30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0,82/0,68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8.576</w:t>
            </w:r>
          </w:p>
        </w:tc>
      </w:tr>
      <w:tr>
        <w:tc>
          <w:tcPr>
            <w:tcW w:type="dxa" w:w="1498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243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M3 + vínculo (limite inf.)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6.089.887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6.089.975</w:t>
            </w:r>
          </w:p>
        </w:tc>
        <w:tc>
          <w:tcPr>
            <w:tcW w:type="dxa" w:w="655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0,882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0,856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0,31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0,83/0,77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5.269</w:t>
            </w:r>
          </w:p>
        </w:tc>
      </w:tr>
      <w:tr>
        <w:tc>
          <w:tcPr>
            <w:tcW w:type="dxa" w:w="1498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243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M4 + negro</w:t>
            </w:r>
            <m:oMath>
              <m:r>
                <m:rPr>
                  <m:sty m:val="p"/>
                </m:rPr>
                <m:t>×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credencial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6.089.819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6.089.911</w:t>
            </w:r>
          </w:p>
        </w:tc>
        <w:tc>
          <w:tcPr>
            <w:tcW w:type="dxa" w:w="655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0,882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0,856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0,31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0,83/0,77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5.178</w:t>
            </w:r>
          </w:p>
        </w:tc>
      </w:tr>
      <w:tr>
        <w:tc>
          <w:tcPr>
            <w:tcW w:type="dxa" w:w="1498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Top 20% de renda</w:t>
            </w:r>
          </w:p>
        </w:tc>
        <w:tc>
          <w:tcPr>
            <w:tcW w:type="dxa" w:w="243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M1 individual + UF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6.104.884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6.104.958</w:t>
            </w:r>
          </w:p>
        </w:tc>
        <w:tc>
          <w:tcPr>
            <w:tcW w:type="dxa" w:w="655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0,844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0,770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0,22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0,78/0,74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4.038</w:t>
            </w:r>
          </w:p>
        </w:tc>
      </w:tr>
      <w:tr>
        <w:tc>
          <w:tcPr>
            <w:tcW w:type="dxa" w:w="1498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243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M2 + contexto do bairro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6.094.129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6.094.209</w:t>
            </w:r>
          </w:p>
        </w:tc>
        <w:tc>
          <w:tcPr>
            <w:tcW w:type="dxa" w:w="65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469.691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0,844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0,798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0,22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0,78/0,74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4.070</w:t>
            </w:r>
          </w:p>
        </w:tc>
      </w:tr>
      <w:tr>
        <w:tc>
          <w:tcPr>
            <w:tcW w:type="dxa" w:w="1498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243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M3 + vínculo (limite inf.)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5.779.565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5.779.653</w:t>
            </w:r>
          </w:p>
        </w:tc>
        <w:tc>
          <w:tcPr>
            <w:tcW w:type="dxa" w:w="655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0,862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0,821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0,22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0,79/0,76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1.584</w:t>
            </w:r>
          </w:p>
        </w:tc>
      </w:tr>
      <w:tr>
        <w:tc>
          <w:tcPr>
            <w:tcW w:type="dxa" w:w="1498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243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M4 + negro</w:t>
            </w:r>
            <m:oMath>
              <m:r>
                <m:rPr>
                  <m:sty m:val="p"/>
                </m:rPr>
                <m:t>×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credencial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5.779.560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5.779.652</w:t>
            </w:r>
          </w:p>
        </w:tc>
        <w:tc>
          <w:tcPr>
            <w:tcW w:type="dxa" w:w="655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0,862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0,821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0,23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0,78/0,77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1.597</w:t>
            </w:r>
          </w:p>
        </w:tc>
      </w:tr>
      <w:tr>
        <w:tc>
          <w:tcPr>
            <w:tcW w:type="dxa" w:w="1498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Top 10% de renda</w:t>
            </w:r>
          </w:p>
        </w:tc>
        <w:tc>
          <w:tcPr>
            <w:tcW w:type="dxa" w:w="243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M1 individual + UF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3.713.826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3.713.900</w:t>
            </w:r>
          </w:p>
        </w:tc>
        <w:tc>
          <w:tcPr>
            <w:tcW w:type="dxa" w:w="655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0,878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0,788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0,10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0,82/0,77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4.049</w:t>
            </w:r>
          </w:p>
        </w:tc>
      </w:tr>
      <w:tr>
        <w:tc>
          <w:tcPr>
            <w:tcW w:type="dxa" w:w="1498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243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M2 + contexto do bairro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3.702.360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3.702.440</w:t>
            </w:r>
          </w:p>
        </w:tc>
        <w:tc>
          <w:tcPr>
            <w:tcW w:type="dxa" w:w="65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337.418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0,878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0,830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0,10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0,82/0,77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3.949</w:t>
            </w:r>
          </w:p>
        </w:tc>
      </w:tr>
      <w:tr>
        <w:tc>
          <w:tcPr>
            <w:tcW w:type="dxa" w:w="1498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243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M3 + vínculo (limite inf.)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3.502.169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3.502.257</w:t>
            </w:r>
          </w:p>
        </w:tc>
        <w:tc>
          <w:tcPr>
            <w:tcW w:type="dxa" w:w="655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0,893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0,852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0,11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0,82/0,80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1.934</w:t>
            </w:r>
          </w:p>
        </w:tc>
      </w:tr>
      <w:tr>
        <w:tc>
          <w:tcPr>
            <w:tcW w:type="dxa" w:w="1498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2434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M4 + negro</w:t>
            </w:r>
            <m:oMath>
              <m:r>
                <m:rPr>
                  <m:sty m:val="p"/>
                </m:rPr>
                <m:t>×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credencial</w:t>
            </w:r>
          </w:p>
        </w:tc>
        <w:tc>
          <w:tcPr>
            <w:tcW w:type="dxa" w:w="842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3.502.075</w:t>
            </w:r>
          </w:p>
        </w:tc>
        <w:tc>
          <w:tcPr>
            <w:tcW w:type="dxa" w:w="842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3.502.167</w:t>
            </w:r>
          </w:p>
        </w:tc>
        <w:tc>
          <w:tcPr>
            <w:tcW w:type="dxa" w:w="655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489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0,893</w:t>
            </w:r>
          </w:p>
        </w:tc>
        <w:tc>
          <w:tcPr>
            <w:tcW w:type="dxa" w:w="489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0,852</w:t>
            </w:r>
          </w:p>
        </w:tc>
        <w:tc>
          <w:tcPr>
            <w:tcW w:type="dxa" w:w="489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0,11</w:t>
            </w:r>
          </w:p>
        </w:tc>
        <w:tc>
          <w:tcPr>
            <w:tcW w:type="dxa" w:w="842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0,82/0,80</w:t>
            </w:r>
          </w:p>
        </w:tc>
        <w:tc>
          <w:tcPr>
            <w:tcW w:type="dxa" w:w="489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1.869</w:t>
            </w:r>
          </w:p>
        </w:tc>
      </w:tr>
    </w:tbl>
    <w:bookmarkEnd w:id="77"/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Tabela 12 decompõe o diferencial de cada grupo contra o homem branco.</w:t>
      </w:r>
    </w:p>
    <w:bookmarkEnd w:id="78"/>
    <w:bookmarkStart w:id="85" w:name="X1df7cc4eb0c7cc9fb7ddad12c1316189c49cc50"/>
    <w:p>
      <w:pPr>
        <w:pStyle w:val="Ttulo2"/>
        <w:spacing w:line="360" w:lineRule="auto" w:before="280" w:after="280"/>
        <w:ind w:firstLine="709"/>
        <w:jc w:val="left"/>
      </w:pPr>
      <w:r>
        <w:rPr>
          <w:rFonts w:ascii="Arial" w:hAnsi="Arial"/>
          <w:b/>
          <w:sz w:val="22"/>
        </w:rPr>
        <w:t xml:space="preserve">Interseccionalidade: raça e gênero no acesso e no topo</w:t>
      </w:r>
    </w:p>
    <w:bookmarkStart w:id="79" w:name="tab:interseccional"/>
    <w:p>
      <w:pPr>
        <w:pStyle w:val="Tabl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Tabela 12. Decomposição interseccional (raça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gênero) do gap de rendimento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vs.</w:t>
      </w:r>
      <w:r>
        <w:rPr>
          <w:rFonts w:ascii="Arial" w:hAnsi="Arial"/>
          <w:sz w:val="22"/>
        </w:rPr>
        <w:t xml:space="preserve"> o Homem Branco (grupo de referência). Dotações: parcela explicada por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características observáveis; Retornos: parcela não explicada (discriminação). Penalidade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extra: o quanto o gap da Mulher Negra excede a soma das penalidades de raça e de gênero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isoladas (efeito interseccional puro, Crenshaw, 1989). PNAD Contínua, população completa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m:oMath>
        <m:r>
          <m:t>N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grupo de referência — homens brancos — na última linha da nota). Entre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parênteses: erro-padrão por bootstrap em blocos por UPA.</w:t>
      </w:r>
    </w:p>
    <w:tbl>
      <w:tblPr>
        <w:tblStyle w:val="Table"/>
        <w:tblW w:type="auto" w:w="0"/>
        <w:tblLayout w:type="fixed"/>
        <w:tblLook w:firstRow="1" w:lastRow="0" w:firstColumn="0" w:lastColumn="0" w:noHBand="0" w:noVBand="0" w:val="0020"/>
        <w:tblCaption w:val="Tabela 12. Decomposição interseccional (raça \times gênero) do gap de rendimento vs. o Homem Branco (grupo de referência). Dotações: parcela explicada por características observáveis; Retornos: parcela não explicada (discriminação). Penalidade extra: o quanto o gap da Mulher Negra excede a soma das penalidades de raça e de gênero isoladas (efeito interseccional puro, Crenshaw, 1989). PNAD Contínua, população completa (N do grupo de referência — homens brancos — na última linha da nota). Entre parênteses: erro-padrão por bootstrap em blocos por UPA.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12"/>
        <w:gridCol w:w="1512"/>
        <w:gridCol w:w="1396"/>
        <w:gridCol w:w="1396"/>
        <w:gridCol w:w="2210"/>
        <w:gridCol w:w="1047"/>
      </w:tblGrid>
      <w:tr>
        <w:trPr>
          <w:tblHeader w:val="on"/>
        </w:trPr>
        <w:tc>
          <w:tcPr>
            <w:tcW w:type="dxa" w:w="1512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Grupo</w:t>
            </w:r>
          </w:p>
        </w:tc>
        <w:tc>
          <w:tcPr>
            <w:tcW w:type="dxa" w:w="1512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Gap vs HB (%)</w:t>
            </w:r>
          </w:p>
        </w:tc>
        <w:tc>
          <w:tcPr>
            <w:tcW w:type="dxa" w:w="1396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Dotações (%)</w:t>
            </w:r>
          </w:p>
        </w:tc>
        <w:tc>
          <w:tcPr>
            <w:tcW w:type="dxa" w:w="1396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Retornos (%)</w:t>
            </w:r>
          </w:p>
        </w:tc>
        <w:tc>
          <w:tcPr>
            <w:tcW w:type="dxa" w:w="2210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Penal. extra (p.p.)</w:t>
            </w:r>
          </w:p>
        </w:tc>
        <w:tc>
          <w:tcPr>
            <w:tcW w:type="dxa" w:w="1047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m:oMath>
              <m:r>
                <m:t>N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do grupo</w:t>
            </w:r>
          </w:p>
        </w:tc>
      </w:tr>
      <w:tr>
        <w:tc>
          <w:tcPr>
            <w:tcW w:type="dxa" w:w="1512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Mulher Branca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19,7 (0,2)</w:t>
            </w:r>
          </w:p>
        </w:tc>
        <w:tc>
          <w:tcPr>
            <w:tcW w:type="dxa" w:w="139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−51,9 (1,0)</w:t>
            </w:r>
          </w:p>
        </w:tc>
        <w:tc>
          <w:tcPr>
            <w:tcW w:type="dxa" w:w="139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151,9 (1,0)</w:t>
            </w:r>
          </w:p>
        </w:tc>
        <w:tc>
          <w:tcPr>
            <w:tcW w:type="dxa" w:w="221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047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1.423.994</w:t>
            </w:r>
          </w:p>
        </w:tc>
      </w:tr>
      <w:tr>
        <w:tc>
          <w:tcPr>
            <w:tcW w:type="dxa" w:w="1512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Homem Negro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56,3 (0,6)</w:t>
            </w:r>
          </w:p>
        </w:tc>
        <w:tc>
          <w:tcPr>
            <w:tcW w:type="dxa" w:w="139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73,9 (0,4)</w:t>
            </w:r>
          </w:p>
        </w:tc>
        <w:tc>
          <w:tcPr>
            <w:tcW w:type="dxa" w:w="139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26,1 (0,4)</w:t>
            </w:r>
          </w:p>
        </w:tc>
        <w:tc>
          <w:tcPr>
            <w:tcW w:type="dxa" w:w="221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047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2.664.739</w:t>
            </w:r>
          </w:p>
        </w:tc>
      </w:tr>
      <w:tr>
        <w:tc>
          <w:tcPr>
            <w:tcW w:type="dxa" w:w="1512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Mulher Negra</w:t>
            </w:r>
          </w:p>
        </w:tc>
        <w:tc>
          <w:tcPr>
            <w:tcW w:type="dxa" w:w="1512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80,6 (0,6)</w:t>
            </w:r>
          </w:p>
        </w:tc>
        <w:tc>
          <w:tcPr>
            <w:tcW w:type="dxa" w:w="1396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35,3 (0,4)</w:t>
            </w:r>
          </w:p>
        </w:tc>
        <w:tc>
          <w:tcPr>
            <w:tcW w:type="dxa" w:w="1396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64,7 (0,4)</w:t>
            </w:r>
          </w:p>
        </w:tc>
        <w:tc>
          <w:tcPr>
            <w:tcW w:type="dxa" w:w="2210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4,6</w:t>
            </w:r>
          </w:p>
        </w:tc>
        <w:tc>
          <w:tcPr>
            <w:tcW w:type="dxa" w:w="1047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1.769.943</w:t>
            </w:r>
          </w:p>
        </w:tc>
      </w:tr>
    </w:tbl>
    <w:bookmarkEnd w:id="79"/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: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“Gap vs HB”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a desvantagem de renda de cada grupo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vs.</w:t>
      </w:r>
      <w:r>
        <w:rPr>
          <w:rFonts w:ascii="Arial" w:hAnsi="Arial"/>
          <w:sz w:val="22"/>
        </w:rPr>
        <w:t xml:space="preserve"> o Homem Branco; Dotações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+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Retornos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gap. A Mulher Negra tem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maior gap e ainda uma penalidade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extra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que não se reduz à soma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“ser negro”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“ser mulher”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 a marca da interseccionalidade. O sinal negativo das dotações da Mulher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Branca indica que suas características observáveis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superam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as do homem branco: todo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gap vem de retornos diferenciais. Grupo de referência: 1.835.522 homens brancos.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pesquisa.</w:t>
      </w:r>
    </w:p>
    <w:p>
      <w:pPr>
        <w:pStyle w:val="BodyText"/>
      </w:pPr>
      <w:bookmarkStart w:id="80" w:name="subsec:interseccional"/>
      <w:bookmarkEnd w:id="80"/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Os modelos anteriores tratam raça e gênero de forma aditiva. Uma leitura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interseccional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pergunta se a desvantagem de ser negra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mulher é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soma das partes. Reespecificamos o GLMM de acesso com um fator de quatro grupos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w:r>
        <w:rPr>
          <w:rStyle w:val="VerbatimChar"/>
          <w:rFonts w:ascii="Arial" w:hAnsi="Arial"/>
          <w:sz w:val="22"/>
        </w:rPr>
        <w:t xml:space="preserve">grupo_rg</w:t>
      </w:r>
      <w:r>
        <w:rPr>
          <w:rFonts w:ascii="Arial" w:hAnsi="Arial"/>
          <w:sz w:val="22"/>
        </w:rPr>
        <w:t xml:space="preserve">: homem branco [referência], mulher branca, homem negro, mulher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negra) e a interação</w:t>
      </w:r>
      <w:r>
        <w:rPr>
          <w:rFonts w:ascii="Arial" w:hAnsi="Arial"/>
          <w:sz w:val="22"/>
        </w:rPr>
        <w:t xml:space="preserve"> </w:t>
      </w:r>
      <w:r>
        <w:rPr>
          <w:rStyle w:val="VerbatimChar"/>
          <w:rFonts w:ascii="Arial" w:hAnsi="Arial"/>
          <w:sz w:val="22"/>
        </w:rPr>
        <w:t xml:space="preserve">negro</w:t>
      </w:r>
      <m:oMath>
        <m:r>
          <m:rPr>
            <m:sty m:val="p"/>
          </m:rPr>
          <m:t>×</m:t>
        </m:r>
      </m:oMath>
      <w:r>
        <w:rPr>
          <w:rStyle w:val="VerbatimChar"/>
          <w:rFonts w:ascii="Arial" w:hAnsi="Arial"/>
          <w:sz w:val="22"/>
        </w:rPr>
        <w:t xml:space="preserve">sexo_fem</w:t>
      </w:r>
      <w:r>
        <w:rPr>
          <w:rFonts w:ascii="Arial" w:hAnsi="Arial"/>
          <w:sz w:val="22"/>
        </w:rPr>
        <w:t xml:space="preserve">, em três desfechos: acesso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ocupação qualificada (CBO 1–4), renda no top 20% e no top 10%. A Tabela 12 traz a decomposição de Oaxaca–Blinder dos quatro grupos contra o homem branco, e a Figura 8, as razões de chance nos três desfechos.</w:t>
      </w:r>
    </w:p>
    <w:bookmarkStart w:id="84" w:name="fig:interseccional"/>
    <w:p>
      <w:pPr>
        <w:pStyle w:val="CaptionedFigure"/>
      </w:pPr>
      <w:r>
        <w:rPr>
          <w:rFonts w:ascii="Arial" w:hAnsi="Arial"/>
          <w:sz w:val="22"/>
        </w:rPr>
        <w:drawing>
          <wp:inline>
            <wp:extent cx="4717542" cy="3119503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outputs/figures/grupo_rg_interseccional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7542" cy="31195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Figura 8. A mulher negra entra na categoria, mas não chega ao topo: razões de chance dos quatro grupos raça</w:t>
      </w:r>
      <m:oMath>
        <m:r>
          <m:rPr>
            <m:sty m:val="p"/>
          </m:rPr>
          <m:t>×</m:t>
        </m:r>
      </m:oMath>
      <w:r>
        <w:rPr>
          <w:rFonts w:ascii="Arial" w:hAnsi="Arial"/>
          <w:sz w:val="22"/>
        </w:rPr>
        <w:t xml:space="preserve">gênero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vs.</w:t>
      </w:r>
      <w:r>
        <w:rPr>
          <w:rFonts w:ascii="Arial" w:hAnsi="Arial"/>
          <w:sz w:val="22"/>
        </w:rPr>
        <w:t xml:space="preserve"> homem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branco, em três desfechos. A mulher negra 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alçada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no acesso à categoria,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mas torna-se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mais excluída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no topo da renda.</w:t>
      </w:r>
    </w:p>
    <w:bookmarkEnd w:id="84"/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Nota: como ler a Figura 8: cada barra é um grupo raça</w:t>
      </w:r>
      <m:oMath>
        <m:r>
          <m:rPr>
            <m:sty m:val="p"/>
          </m:rPr>
          <m:t>×</m:t>
        </m:r>
      </m:oMath>
      <w:r>
        <w:rPr>
          <w:rFonts w:ascii="Arial" w:hAnsi="Arial"/>
          <w:sz w:val="22"/>
        </w:rPr>
        <w:t xml:space="preserve">gênero; a altura é o gap vs. o homem branco — a mulher negra acumula as duas penalidades.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O resultado revela uma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inversão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(Figura 8). No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acesso à categoria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qualificada, a mulher negra tem OR 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33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acima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homem branco —, porque o efeito de gênero é positivo nesse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desfecho (profissões credenciadas feminizadas, em CBO 1–4); o grupo mais penalizado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homem negro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(OR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65</m:t>
        </m:r>
      </m:oMath>
      <w:r>
        <w:rPr>
          <w:rFonts w:ascii="Arial" w:hAnsi="Arial"/>
          <w:sz w:val="22"/>
        </w:rPr>
        <w:t xml:space="preserve">). No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topo da renda</w:t>
      </w:r>
      <w:r>
        <w:rPr>
          <w:rFonts w:ascii="Arial" w:hAnsi="Arial"/>
          <w:sz w:val="22"/>
        </w:rPr>
        <w:t xml:space="preserve">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porém, o quadro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inverte</w:t>
      </w:r>
      <w:r>
        <w:rPr>
          <w:rFonts w:ascii="Arial" w:hAnsi="Arial"/>
          <w:sz w:val="22"/>
        </w:rPr>
        <w:t xml:space="preserve">: a mulher negra passa a ser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mais excluída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todos — OR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34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no decil superior, abaixo da mulher branca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49</m:t>
        </m:r>
      </m:oMath>
      <w:r>
        <w:rPr>
          <w:rFonts w:ascii="Arial" w:hAnsi="Arial"/>
          <w:sz w:val="22"/>
        </w:rPr>
        <w:t xml:space="preserve">) e do homem negro (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65</m:t>
        </m:r>
      </m:oMath>
      <w:r>
        <w:rPr>
          <w:rFonts w:ascii="Arial" w:hAnsi="Arial"/>
          <w:sz w:val="22"/>
        </w:rPr>
        <w:t xml:space="preserve">).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interação</w:t>
      </w:r>
      <w:r>
        <w:rPr>
          <w:rFonts w:ascii="Arial" w:hAnsi="Arial"/>
          <w:sz w:val="22"/>
        </w:rPr>
        <w:t xml:space="preserve"> </w:t>
      </w:r>
      <w:r>
        <w:rPr>
          <w:rStyle w:val="VerbatimChar"/>
          <w:rFonts w:ascii="Arial" w:hAnsi="Arial"/>
          <w:sz w:val="22"/>
        </w:rPr>
        <w:t xml:space="preserve">negro</w:t>
      </w:r>
      <m:oMath>
        <m:r>
          <m:rPr>
            <m:sty m:val="p"/>
          </m:rPr>
          <m:t>×</m:t>
        </m:r>
      </m:oMath>
      <w:r>
        <w:rPr>
          <w:rStyle w:val="VerbatimChar"/>
          <w:rFonts w:ascii="Arial" w:hAnsi="Arial"/>
          <w:sz w:val="22"/>
        </w:rPr>
        <w:t xml:space="preserve">sexo_fem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sub-aditiva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todos os desfechos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(OR 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14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no acesso;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07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no top 10%):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penalidade racial é ligeiramente menor entre mulheres, mas isso não impede que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mulher negra acumule a barreira racial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teto de vidro de gênero exatamente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onde mais importa para a ascensão — o topo da distribuição.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Esse achado refina a tese central: o teto de vidro não é racial nem sexualmente neutro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 recai com força máxima sobre a mulher negra, que pode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entrar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ocupações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qualificadas, mas é sistematicamente barrada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chegar ao topo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remuneração.</w:t>
      </w:r>
    </w:p>
    <w:bookmarkEnd w:id="85"/>
    <w:bookmarkStart w:id="87" w:name="subsec:vif"/>
    <w:p>
      <w:pPr>
        <w:pStyle w:val="Ttulo2"/>
        <w:spacing w:line="360" w:lineRule="auto" w:before="280" w:after="280"/>
        <w:ind w:firstLine="709"/>
        <w:jc w:val="left"/>
      </w:pPr>
      <w:r>
        <w:rPr>
          <w:rFonts w:ascii="Arial" w:hAnsi="Arial"/>
          <w:b/>
          <w:sz w:val="22"/>
        </w:rPr>
        <w:t xml:space="preserve">Multicolinearidade do Modelo M4: Análise VIF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Para verificar se a inclusão simultânea dos 9 dummies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CBO e das variáveis de vínculo empregatício (</w:t>
      </w:r>
      <w:r>
        <w:rPr>
          <w:rStyle w:val="VerbatimChar"/>
          <w:rFonts w:ascii="Arial" w:hAnsi="Arial"/>
          <w:sz w:val="22"/>
        </w:rPr>
        <w:t xml:space="preserve">emprego_formal</w:t>
      </w:r>
      <w:r>
        <w:rPr>
          <w:rFonts w:ascii="Arial" w:hAnsi="Arial"/>
          <w:sz w:val="22"/>
        </w:rPr>
        <w:t xml:space="preserve">,</w:t>
      </w:r>
      <w:r>
        <w:rPr>
          <w:rFonts w:ascii="Arial" w:hAnsi="Arial"/>
          <w:sz w:val="22"/>
        </w:rPr>
        <w:t xml:space="preserve"> </w:t>
      </w:r>
      <w:r>
        <w:rPr>
          <w:rStyle w:val="VerbatimChar"/>
          <w:rFonts w:ascii="Arial" w:hAnsi="Arial"/>
          <w:sz w:val="22"/>
        </w:rPr>
        <w:t xml:space="preserve">conta_propria</w:t>
      </w:r>
      <w:r>
        <w:rPr>
          <w:rFonts w:ascii="Arial" w:hAnsi="Arial"/>
          <w:sz w:val="22"/>
        </w:rPr>
        <w:t xml:space="preserve">,</w:t>
      </w:r>
      <w:r>
        <w:rPr>
          <w:rFonts w:ascii="Arial" w:hAnsi="Arial"/>
          <w:sz w:val="22"/>
        </w:rPr>
        <w:t xml:space="preserve"> </w:t>
      </w:r>
      <w:r>
        <w:rPr>
          <w:rStyle w:val="VerbatimChar"/>
          <w:rFonts w:ascii="Arial" w:hAnsi="Arial"/>
          <w:sz w:val="22"/>
        </w:rPr>
        <w:t xml:space="preserve">trab_domestico</w:t>
      </w:r>
      <w:r>
        <w:rPr>
          <w:rFonts w:ascii="Arial" w:hAnsi="Arial"/>
          <w:sz w:val="22"/>
        </w:rPr>
        <w:t xml:space="preserve">) introduz colinearidade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problemática no Modelo M4, calculou-se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Variance Inflation Factor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(VIF)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sobre subsample de 200.000 observações da PEA com renda positiva.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Dos</w:t>
      </w:r>
      <w:r>
        <w:rPr>
          <w:rFonts w:ascii="Arial" w:hAnsi="Arial"/>
          <w:sz w:val="22"/>
        </w:rPr>
        <w:t xml:space="preserve"> </w:t>
      </w:r>
      <m:oMath>
        <m:r>
          <m:t>24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preditores analisados, VIF máximo </w:t>
      </w:r>
      <m:oMath>
        <m:r>
          <m:rPr>
            <m:sty m:val="p"/>
          </m:rPr>
          <m:t>=</m:t>
        </m:r>
        <m:r>
          <m:t>22</m:t>
        </m:r>
        <m:r>
          <m:rPr>
            <m:sty m:val="p"/>
          </m:rPr>
          <m:t>,</m:t>
        </m:r>
        <m:r>
          <m:t>25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(Educ.: não registrada); 2 variável crítica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(VIF </w:t>
      </w:r>
      <m:oMath>
        <m:r>
          <m:rPr>
            <m:sty m:val="p"/>
          </m:rPr>
          <m:t>&gt;</m:t>
        </m:r>
        <m:r>
          <m:t>10</m:t>
        </m:r>
      </m:oMath>
      <w:r>
        <w:rPr>
          <w:rFonts w:ascii="Arial" w:hAnsi="Arial"/>
          <w:sz w:val="22"/>
        </w:rPr>
        <w:t xml:space="preserve">); 1 variável alta (</w:t>
      </w:r>
      <m:oMath>
        <m:r>
          <m:t>5</m:t>
        </m:r>
      </m:oMath>
      <w:r>
        <w:rPr>
          <w:rFonts w:ascii="Arial" w:hAnsi="Arial"/>
          <w:sz w:val="22"/>
        </w:rPr>
        <w:t xml:space="preserve">–</w:t>
      </w:r>
      <m:oMath>
        <m:r>
          <m:t>10</m:t>
        </m:r>
      </m:oMath>
      <w:r>
        <w:rPr>
          <w:rFonts w:ascii="Arial" w:hAnsi="Arial"/>
          <w:sz w:val="22"/>
        </w:rPr>
        <w:t xml:space="preserve">);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1 variável moderada (</w:t>
      </w:r>
      <m:oMath>
        <m:r>
          <m:t>2</m:t>
        </m:r>
      </m:oMath>
      <w:r>
        <w:rPr>
          <w:rFonts w:ascii="Arial" w:hAnsi="Arial"/>
          <w:sz w:val="22"/>
        </w:rPr>
        <w:t xml:space="preserve">–</w:t>
      </w:r>
      <m:oMath>
        <m:r>
          <m:t>5</m:t>
        </m:r>
      </m:oMath>
      <w:r>
        <w:rPr>
          <w:rFonts w:ascii="Arial" w:hAnsi="Arial"/>
          <w:sz w:val="22"/>
        </w:rPr>
        <w:t xml:space="preserve">);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20 variáveis baixas (</w:t>
      </w:r>
      <m:oMath>
        <m:r>
          <m:rPr>
            <m:sty m:val="p"/>
          </m:rPr>
          <m:t>&lt;</m:t>
        </m:r>
        <m:r>
          <m:t>2</m:t>
        </m:r>
      </m:oMath>
      <w:r>
        <w:rPr>
          <w:rFonts w:ascii="Arial" w:hAnsi="Arial"/>
          <w:sz w:val="22"/>
        </w:rPr>
        <w:t xml:space="preserve">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Os dois VIF acima de 10 são</w:t>
      </w:r>
      <w:r>
        <w:rPr>
          <w:rFonts w:ascii="Arial" w:hAnsi="Arial"/>
          <w:sz w:val="22"/>
        </w:rPr>
        <w:t xml:space="preserve"> </w:t>
      </w:r>
      <w:r>
        <w:rPr>
          <w:rStyle w:val="VerbatimChar"/>
          <w:rFonts w:ascii="Arial" w:hAnsi="Arial"/>
          <w:sz w:val="22"/>
        </w:rPr>
        <w:t xml:space="preserve">educ_missing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(22,25) e</w:t>
      </w:r>
      <w:r>
        <w:rPr>
          <w:rFonts w:ascii="Arial" w:hAnsi="Arial"/>
          <w:sz w:val="22"/>
        </w:rPr>
        <w:t xml:space="preserve"> </w:t>
      </w:r>
      <w:r>
        <w:rPr>
          <w:rStyle w:val="VerbatimChar"/>
          <w:rFonts w:ascii="Arial" w:hAnsi="Arial"/>
          <w:sz w:val="22"/>
        </w:rPr>
        <w:t xml:space="preserve">educ_superior_completo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(19,45) — colinearidade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 construção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dentro do bloco educacional, já que o indicador de escolaridade não registrada 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quase o complemento das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dummies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conclusão (Fávero &amp; Belfiore,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cap. 12). Ela infla o erro-padrão dos retornos educacionais, que por isso são lidos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 cautela, mas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não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contamina o coeficiente de interesse: o VIF de</w:t>
      </w:r>
      <w:r>
        <w:rPr>
          <w:rFonts w:ascii="Arial" w:hAnsi="Arial"/>
          <w:sz w:val="22"/>
        </w:rPr>
        <w:t xml:space="preserve"> </w:t>
      </w:r>
      <w:r>
        <w:rPr>
          <w:rStyle w:val="VerbatimChar"/>
          <w:rFonts w:ascii="Arial" w:hAnsi="Arial"/>
          <w:sz w:val="22"/>
        </w:rPr>
        <w:t xml:space="preserve">negro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1,37 e o das variáveis de contexto da UPA fica abaixo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1,8. Entre 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dummies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CBO e as variáveis de vínculo —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colinearidade que se temia no M4 — o VIF máximo é 2,09. A especificação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M4 dispensa, portanto, ortogonalização ou eliminação de preditores; o que ela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não dispensa é a ressalva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bad control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(ver a seção Modelos Hierárquicos Lineares).</w:t>
      </w:r>
    </w:p>
    <w:p>
      <w:pPr>
        <w:pStyle w:val="BodyText"/>
      </w:pPr>
      <w:bookmarkStart w:id="86" w:name="sec:discussao"/>
      <w:bookmarkEnd w:id="86"/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Nota terminológica.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Três conceitos próximos, mas distintos, percorrem este trabalho e não devem ser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confundidos.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Mediação contextual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(HLM) é a fração do gap bruto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desaparece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ao se controlar o local de moradia (UPA/UF) — mede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quanto da penalidade racial transita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pelo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território.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Efeito dotação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(Oaxaca–Blinder) é a parcela do gap atribuível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diferenças nas características observáveis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entre brancos e negros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(escolaridade, ocupação, contexto), por oposição ao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efeito retornos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(preços diferenciais pagos às mesmas características).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Gap líquido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o diferencial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persiste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após o controle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capital humano e contexto (M3): 10,2%.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Gap residual pós-ocupação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que resta ao se controlar também ocupação e formalidade (M4): 7,0% — um limite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inferior, pois a ocupação é ela própria resultado da barreira de acesso. Em suma: a mediação contextual responde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“por onde passa o gap”</w:t>
      </w:r>
      <w:r>
        <w:rPr>
          <w:rFonts w:ascii="Arial" w:hAnsi="Arial"/>
          <w:sz w:val="22"/>
        </w:rPr>
        <w:t xml:space="preserve">; a decomposição de dotações,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“de que ele é feito”</w:t>
      </w:r>
      <w:r>
        <w:rPr>
          <w:rFonts w:ascii="Arial" w:hAnsi="Arial"/>
          <w:sz w:val="22"/>
        </w:rPr>
        <w:t xml:space="preserve">; e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gap líquido,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“o que sobra sem explicação”</w:t>
      </w:r>
      <w:r>
        <w:rPr>
          <w:rFonts w:ascii="Arial" w:hAnsi="Arial"/>
          <w:sz w:val="22"/>
        </w:rPr>
        <w:t xml:space="preserve">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Da diagnose às políticas.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diagnóstico das duas barreiras revela gargalos simultâneos — exclusão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acesso às ocupações qualificadas e penalidade salarial que persiste dentro delas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 que se reforçam mutuamente. A consequência para o desenho de políticas 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direta: nenhuma intervenção unidimensional (só cotas de acesso, só fiscalização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salarial, só escolaridade) atinge as duas barreiras ao mesmo tempo; a magnitude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relativa de cada uma, estimada aqui, é o insumo para priorizá-las.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O que este trabalho acrescenta ao debate.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Hasenbalg (1979)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identificou a discriminação racial como estrutural,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sem poder quantificar mecanismos em escala nacional.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Henriques (2001)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documentou o gap educacional racial, mas não separou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efeito educacional do de redes e contexto.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Soares (2009)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estimou, com dados de 2006, que cerca de 50% do gap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salarial seria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“inexplicado”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 interpretado como discriminação direta.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Este trabalho, com dados de 2016–2025 e metodologias não disponíveis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Soares, decompõe essa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caixa preta</w:t>
      </w:r>
      <w:r>
        <w:rPr>
          <w:rFonts w:ascii="Arial" w:hAnsi="Arial"/>
          <w:sz w:val="22"/>
        </w:rPr>
        <w:t xml:space="preserve">. Na especificação comparável à dele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(capital humano e contexto, sem ocupação), 28,4% do gap bruto são retornos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diferenciais — limite inferior da discriminação direta — e 71,6% são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diferenças de dotações; quando a ocupação é tratada como dotação, o não explicado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cai para 16,2%, e 83,8% passam a ser dotações — mas essas dotações são, elas mesmas,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produto da barreira de acesso às ocupações qualificadas (GLMM), que este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trabalho quantifica em conjunto com a penalidade salarial.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contribuição central não é mostrar que o gap existe — isso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literatura já sabia desde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Hasenbalg (1979)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mas demonstrar que ele é sustentado por um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sistema combinado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que discriminação de acesso, segregação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residencial e penalidade salarial se reforçam mutuamente, tornando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insuficientes políticas focadas em um único mecanismo.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Diálogo com o quadro macro recente do IBGE.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Os resultados convergem com o retrato macroestrutural mais recente. A melhora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multidimensional captada pela POF não eliminou o gap racial de qualidade de vida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(0</w:t>
      </w:r>
      <w:r>
        <w:rPr>
          <w:rFonts w:ascii="Arial" w:hAnsi="Arial"/>
          <w:sz w:val="22"/>
        </w:rPr>
        <w:t xml:space="preserve">,</w:t>
      </w:r>
      <w:r>
        <w:rPr>
          <w:rFonts w:ascii="Arial" w:hAnsi="Arial"/>
          <w:sz w:val="22"/>
        </w:rPr>
        <w:t xml:space="preserve">183 para chefes pretos/pardos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vs.</w:t>
      </w:r>
      <w:r>
        <w:rPr>
          <w:rFonts w:ascii="Arial" w:hAnsi="Arial"/>
          <w:sz w:val="22"/>
        </w:rPr>
        <w:t xml:space="preserve"> 0</w:t>
      </w:r>
      <w:r>
        <w:rPr>
          <w:rFonts w:ascii="Arial" w:hAnsi="Arial"/>
          <w:sz w:val="22"/>
        </w:rPr>
        <w:t xml:space="preserve">,</w:t>
      </w:r>
      <w:r>
        <w:rPr>
          <w:rFonts w:ascii="Arial" w:hAnsi="Arial"/>
          <w:sz w:val="22"/>
        </w:rPr>
        <w:t xml:space="preserve">122 para brancos), e a renda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voltou a concentrar-se no topo em 2025 (Gini do rendimento domiciliar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per capita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0</w:t>
      </w:r>
      <w:r>
        <w:rPr>
          <w:rFonts w:ascii="Arial" w:hAnsi="Arial"/>
          <w:sz w:val="22"/>
        </w:rPr>
        <w:t xml:space="preserve">,</w:t>
      </w:r>
      <w:r>
        <w:rPr>
          <w:rFonts w:ascii="Arial" w:hAnsi="Arial"/>
          <w:sz w:val="22"/>
        </w:rPr>
        <w:t xml:space="preserve">491) </w:t>
      </w:r>
      <w:r>
        <w:rPr>
          <w:rFonts w:ascii="Arial" w:hAnsi="Arial"/>
          <w:sz w:val="22"/>
        </w:rPr>
        <w:t xml:space="preserve">(IBGE, 2019, 2025)</w:t>
      </w:r>
      <w:r>
        <w:rPr>
          <w:rFonts w:ascii="Arial" w:hAnsi="Arial"/>
          <w:sz w:val="22"/>
        </w:rPr>
        <w:t xml:space="preserve">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Cabe uma ressalva metodológica: o Gini estimado neste trabalho refere-se ao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rendimento do trabalho entre ocupados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(em torno de 0</w:t>
      </w:r>
      <w:r>
        <w:rPr>
          <w:rFonts w:ascii="Arial" w:hAnsi="Arial"/>
          <w:sz w:val="22"/>
        </w:rPr>
        <w:t xml:space="preserve">,</w:t>
      </w:r>
      <w:r>
        <w:rPr>
          <w:rFonts w:ascii="Arial" w:hAnsi="Arial"/>
          <w:sz w:val="22"/>
        </w:rPr>
        <w:t xml:space="preserve">48), conceito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distinto do Gini domiciliar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per capita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todas as fontes do IBGE —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níveis próximos, mas medidas diferentes que podem divergir em tendência, pois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alta de 2025 é puxada por renda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não</w:t>
      </w:r>
      <w:r>
        <w:rPr>
          <w:rFonts w:ascii="Arial" w:hAnsi="Arial"/>
          <w:sz w:val="22"/>
        </w:rPr>
        <w:t xml:space="preserve">-trabalho do topo, que não transita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pelo rendimento dos ocupados. Nesse mesmo conceito, a desigualdade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interna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maior entre brancos (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485</m:t>
        </m:r>
      </m:oMath>
      <w:r>
        <w:rPr>
          <w:rFonts w:ascii="Arial" w:hAnsi="Arial"/>
          <w:sz w:val="22"/>
        </w:rPr>
        <w:t xml:space="preserve">) do que entre negros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449</m:t>
        </m:r>
      </m:oMath>
      <w:r>
        <w:rPr>
          <w:rFonts w:ascii="Arial" w:hAnsi="Arial"/>
          <w:sz w:val="22"/>
        </w:rPr>
        <w:t xml:space="preserve">) — não por equidade, mas por confinamento dos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negros ao piso da distribuição, o reverso distribucional do teto de vidro.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contraste territorial reforça a tese: o Distrito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Federal, de maior renda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per capita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país, é também a UF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maior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penalidade racial salarial em nossos modelos regionais — riqueza média elevada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desigualdade racial aguda coexistem no mesmo território.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Triangulação com o Índice de Progresso Social (IPS).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IPS municipal (Imazon e parceiros, 2026) — que avalia a qualidade de vida dos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5.570 municípios brasileiros a partir de 57 indicadores sociais e ambientais —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oferece corroboração externa e multidimensional do eixo territorial desta tese.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Uma integração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fina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 o nosso proxy de bairro (UPA) é, contudo,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inviável: o painel público da PNAD não divulga o município (apenas UF e a situação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capital/RM/interior), e o IPS é municipal — portanto mais agregado que a UPA,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sub-municipal. O IPS, assim, não valida o achado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bairro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(situa-se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acima dele na escala), mas ecoa o gradiente macro: as regiões de menor progresso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social (Norte e Nordeste) coincidem com as de maior penalidade racial em nossos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modelos. Empregamo-lo, portanto, como evidência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convergente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caráter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territorial da desigualdade — não como fonte de dados integrada, e ressalvando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IPS mede progresso social geral, não desigualdade racial.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A segregação residencial como multiplicador da desigualdade.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achado mais robusto desta análise é que 47,0% do gap salarial racial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condicional a capital humano é mediado pelo bairro de moradia — muito além do que modelos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cross-sectionais típicos, que ignoram a estrutura aninhada dos dados,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seriam capazes de estimar. O coeficiente contextual</w:t>
      </w:r>
      <w:r>
        <w:rPr>
          <w:rFonts w:ascii="Arial" w:hAnsi="Arial"/>
          <w:sz w:val="22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γ</m:t>
                </m:r>
              </m:e>
            </m:acc>
          </m:e>
          <m:sub>
            <m:r>
              <m:t>01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2189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 desvio-padrão da proporção de negros na UPA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indica que a penalidade de viver em bairro segregado é da mesma ordem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grandeza da própria penalidade individual de ser negro — e que 36,9%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variância do rendimento está entre bairros, não entre pessoas.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Isso sugere que políticas de redistribuição de renda que não enfrentem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segregação residencial terão eficácia limitada sobre o gap racial.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Subvalorização do capital humano negro.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decomposição de Oaxaca–Blinder atribui 28,4% do gap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retornos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diferenciais — as mesmas características de capital humano e contexto rendem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menos a trabalhadores negros — e ainda 16,2% quando a própria posição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ocupacional é descontada; a decomposição RIF mostra que essa parcela chega a 35%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na base da distribuição. O GLMM acrescenta que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credencial educacional não neutraliza a barreira de acesso (OR de</w:t>
      </w:r>
      <w:r>
        <w:rPr>
          <w:rFonts w:ascii="Arial" w:hAnsi="Arial"/>
          <w:sz w:val="22"/>
        </w:rPr>
        <w:t xml:space="preserve"> </w:t>
      </w:r>
      <w:r>
        <w:rPr>
          <w:rStyle w:val="VerbatimChar"/>
          <w:rFonts w:ascii="Arial" w:hAnsi="Arial"/>
          <w:sz w:val="22"/>
        </w:rPr>
        <w:t xml:space="preserve">negro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próximo de 0,7 mesmo entre os mais escolarizados). Juntas, essas evidências indicam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um duplo obstáculo ao retorno educacional: além da penalidade direta mensurada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pelo HLM, o acesso desigual às ocupações que convertem credenciais em renda.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Granovetter (1973)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oferece o mecanismo plausível — redes de indicação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que não cruzam fronteiras sociais —, hipótese que este trabalho não testa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diretamente e que fica como agenda.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Persistência da discriminação direta.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gap líquido de 10,2%, estimado após controlar por todos os vetores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transmissão contextual, representa um piso para a discriminação direta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não explicada por diferenças observáveis. Os valores SHAP reforçam essa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interpretação: a variável racial mantém o 11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lugar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na importância preditiva do XGBoost mesmo quando o modelo tem acesso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completo às variáveis educacionais, demográficas e contextuais.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Essa evidência é consistente com os experimentos de auditoria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Pager (2007)</w:t>
      </w:r>
      <w:r>
        <w:rPr>
          <w:rFonts w:ascii="Arial" w:hAnsi="Arial"/>
          <w:sz w:val="22"/>
        </w:rPr>
        <w:t xml:space="preserve">, que demonstram experimentalmente a discriminação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racial em processos seletivos.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Lenta convergência racial.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redução de apenas 2,4%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gap em dez anos — equivalente a 0,001 ponto de log-rendimento por ano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m:oMath>
        <m:r>
          <m:t>δ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000847</m:t>
        </m:r>
      </m:oMath>
      <w:r>
        <w:rPr>
          <w:rFonts w:ascii="Arial" w:hAnsi="Arial"/>
          <w:sz w:val="22"/>
        </w:rPr>
        <w:t xml:space="preserve">,</w:t>
      </w:r>
      <w:r>
        <w:rPr>
          <w:rFonts w:ascii="Arial" w:hAnsi="Arial"/>
          <w:sz w:val="22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077</m:t>
        </m:r>
      </m:oMath>
      <w:r>
        <w:rPr>
          <w:rFonts w:ascii="Arial" w:hAnsi="Arial"/>
          <w:sz w:val="22"/>
        </w:rPr>
        <w:t xml:space="preserve">, WLS 2016–2025)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 sugere que, ao ritmo atual, a convergência racial levaria mais de um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século para eliminar o diferencial observado em 2016.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Essa constatação não trivializa avanços recentes em políticas de cotas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 acesso ao ensino superior, mas evidencia que reformas no campo 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educação, sem intervenção simultânea nos mecanismos de segregação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residencial e de acesso às redes profissionais, são insuficientes.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Ancoragem em políticas públicas existentes.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As barreiras estimadas não são abstrações: cada uma corresponde a um instrumento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jurídico-institucional já existente no Brasil, cuja intensificação ou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aperfeiçoamento os resultados sugerem.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barreira de acesso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(GLMM, OR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699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para CBO 1–4 no modelo com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contexto) dialoga diretamente com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Lei 12.990/2014</w:t>
      </w:r>
      <w:r>
        <w:rPr>
          <w:rFonts w:ascii="Arial" w:hAnsi="Arial"/>
          <w:sz w:val="22"/>
        </w:rPr>
        <w:t xml:space="preserve">, que reserva 20% das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vagas em concursos públicos federais a candidatos negros, e cujo escopo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diagnóstico sugere ampliar para níveis hierárquicos superiores — onde o teto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vidro é mais severo (OR(top 10%)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654</m:t>
        </m:r>
      </m:oMath>
      <w:r>
        <w:rPr>
          <w:rFonts w:ascii="Arial" w:hAnsi="Arial"/>
          <w:sz w:val="22"/>
        </w:rPr>
        <w:t xml:space="preserve">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qualificação e o acesso ao ensino superior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correspondem ao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Prouni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 ao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Fies</w:t>
      </w:r>
      <w:r>
        <w:rPr>
          <w:rFonts w:ascii="Arial" w:hAnsi="Arial"/>
          <w:sz w:val="22"/>
        </w:rPr>
        <w:t xml:space="preserve">, bem como ao legado 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PRONATEC</w:t>
      </w:r>
      <w:r>
        <w:rPr>
          <w:rFonts w:ascii="Arial" w:hAnsi="Arial"/>
          <w:sz w:val="22"/>
        </w:rPr>
        <w:t xml:space="preserve">;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achado de que as mesmas credenciais rendem menos a trabalhadores negros (efeito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retornos da decomposição de Oaxaca–Blinder) indica que tais programas precisam ser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combinados a mecanismos de inserção ocupacional, sob pena de retorno marginal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decrescente.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combate à discriminação direta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encontra base na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Lei 9.029/1995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(que proíbe práticas discriminatórias na relação de trabalho) e no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Estatuto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Igualdade Racial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w:r>
        <w:rPr>
          <w:rFonts w:ascii="Arial" w:hAnsi="Arial"/>
          <w:sz w:val="22"/>
        </w:rPr>
        <w:t xml:space="preserve">Lei 12.288/2010</w:t>
      </w:r>
      <w:r>
        <w:rPr>
          <w:rFonts w:ascii="Arial" w:hAnsi="Arial"/>
          <w:sz w:val="22"/>
        </w:rPr>
        <w:t xml:space="preserve">), cuja fiscalização o gap líquido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10,2% — e a penalidade de 7,0% que persiste dentro da mesma ocupação —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justifica reforçar.</w:t>
      </w:r>
    </w:p>
    <w:bookmarkEnd w:id="87"/>
    <w:bookmarkStart w:id="88" w:name="limitações-e-escopo-de-validade"/>
    <w:p>
      <w:pPr>
        <w:pStyle w:val="Ttulo2"/>
        <w:spacing w:line="360" w:lineRule="auto" w:before="280" w:after="280"/>
        <w:ind w:firstLine="709"/>
        <w:jc w:val="left"/>
      </w:pPr>
      <w:r>
        <w:rPr>
          <w:rFonts w:ascii="Arial" w:hAnsi="Arial"/>
          <w:b/>
          <w:sz w:val="22"/>
        </w:rPr>
        <w:t xml:space="preserve">Limitações e escopo de validade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Natureza inferencial</w:t>
      </w:r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vs.</w:t>
      </w:r>
      <w:r>
        <w:rPr>
          <w:rFonts w:ascii="Arial" w:hAnsi="Arial"/>
          <w:b/>
          <w:bCs/>
          <w:sz w:val="22"/>
        </w:rPr>
        <w:t xml:space="preserve"> preditiva dos modelos.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Os resultados devem ser lidos sob dois regimes epistemológicos distintos.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Os modelos HLM, a decomposição de Oaxaca–Blinder, a regressão quantílica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modelo logístico de acesso produzem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estimativas de associação condicional</w:t>
      </w:r>
      <w:r>
        <w:rPr>
          <w:rFonts w:ascii="Arial" w:hAnsi="Arial"/>
          <w:sz w:val="22"/>
        </w:rPr>
        <w:t xml:space="preserve">: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medem o diferencial racial que persiste após o controle de covariáveis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observáveis, sob o pressuposto de seleção em observáveis. Não constituem, por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si sós, prova de causalidade no sentido contrafactual, pois não derivam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desenho experimental ou quase-experimental. Já o XGBoost e os valores SHAP têm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finalidade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preditiva e interpretativa</w:t>
      </w:r>
      <w:r>
        <w:rPr>
          <w:rFonts w:ascii="Arial" w:hAnsi="Arial"/>
          <w:sz w:val="22"/>
        </w:rPr>
        <w:t xml:space="preserve">: quantificam a contribuição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cada variável para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previsão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rendimento — não o efeito causal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manipulá-la. A convergência entre os dois regimes (a raça permanece preditora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primeira ordem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mantém coeficiente negativo significante sob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controle exaustivo) é o que confere robustez ao diagnóstico; ainda assim,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linguagem causal foi deliberadamente evitada.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Cobertura da variável de escolaridade.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escolaridade detalhada (</w:t>
      </w:r>
      <w:r>
        <w:rPr>
          <w:rStyle w:val="VerbatimChar"/>
          <w:rFonts w:ascii="Arial" w:hAnsi="Arial"/>
          <w:sz w:val="22"/>
        </w:rPr>
        <w:t xml:space="preserve">educ_cat</w:t>
      </w:r>
      <w:r>
        <w:rPr>
          <w:rFonts w:ascii="Arial" w:hAnsi="Arial"/>
          <w:sz w:val="22"/>
        </w:rPr>
        <w:t xml:space="preserve">) está registrada para cerca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31% da PEA no painel público utilizado. Para preservar o</w:t>
      </w:r>
      <w:r>
        <w:rPr>
          <w:rFonts w:ascii="Arial" w:hAnsi="Arial"/>
          <w:sz w:val="22"/>
        </w:rPr>
        <w:t xml:space="preserve"> </w:t>
      </w:r>
      <m:oMath>
        <m:r>
          <m:t>N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completo, 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níveis de instrução entram como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dummies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conclusão acompanhadas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um indicador explícito de não-registro (</w:t>
      </w:r>
      <w:r>
        <w:rPr>
          <w:rStyle w:val="VerbatimChar"/>
          <w:rFonts w:ascii="Arial" w:hAnsi="Arial"/>
          <w:sz w:val="22"/>
        </w:rPr>
        <w:t xml:space="preserve">educ_missing</w:t>
      </w:r>
      <w:r>
        <w:rPr>
          <w:rFonts w:ascii="Arial" w:hAnsi="Arial"/>
          <w:sz w:val="22"/>
        </w:rPr>
        <w:t xml:space="preserve">), de modo que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categoria de referência não confunda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“baixa escolaridade”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“dado ausente”</w:t>
      </w:r>
      <w:r>
        <w:rPr>
          <w:rFonts w:ascii="Arial" w:hAnsi="Arial"/>
          <w:sz w:val="22"/>
        </w:rPr>
        <w:t xml:space="preserve">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Testes de sensibilidade mostram que o coeficiente racial é estável a essa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especificação (variação inferior a 1%); ainda assim, os retornos educacionais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devem ser interpretados com a cautela própria de uma variável parcialmente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observada.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Condicionar em quem tem renda positiva.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Todos os modelos de rendimento são estimados entre ocupados com renda positiva. Isso 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condicionar no desfecho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w:r>
        <w:rPr>
          <w:rFonts w:ascii="Arial" w:hAnsi="Arial"/>
          <w:sz w:val="22"/>
        </w:rPr>
        <w:t xml:space="preserve">Angrist; Pischke (2009)</w:t>
      </w:r>
      <w:r>
        <w:rPr>
          <w:rFonts w:ascii="Arial" w:hAnsi="Arial"/>
          <w:sz w:val="22"/>
        </w:rPr>
        <w:t xml:space="preserve">, cap. 3): se a discriminação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também reduz a probabilidade de estar ocupado, o gap salarial condicional mistura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efeito sobre o salário com a seleção de quem permanece na amostra. A direção provável 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viés é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subestimação</w:t>
      </w:r>
      <w:r>
        <w:rPr>
          <w:rFonts w:ascii="Arial" w:hAnsi="Arial"/>
          <w:sz w:val="22"/>
        </w:rPr>
        <w:t xml:space="preserve">: se os trabalhadores negros que conseguem se manter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ocupados são positivamente selecionados em atributos não observados, o gap entre 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observados é menor que o gap potencial na população. O modelo logístico de acesso trata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diretamente a outra metade do problema — a probabilidade de chegar à ocupação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qualificada — e a correção de Heckman, estimada na versão estendida deste trabalho,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indicou seleção não nula (</w:t>
      </w:r>
      <m:oMath>
        <m:acc>
          <m:accPr>
            <m:chr m:val="̂"/>
          </m:accPr>
          <m:e>
            <m:r>
              <m:t>λ</m:t>
            </m:r>
          </m:e>
        </m:acc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significativo), com o coeficiente racial estável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sinal e ordem de grandeza. A leitura correta é, portanto: o gap líquido aqui reportado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o gap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entre ocupados</w:t>
      </w:r>
      <w:r>
        <w:rPr>
          <w:rFonts w:ascii="Arial" w:hAnsi="Arial"/>
          <w:sz w:val="22"/>
        </w:rPr>
        <w:t xml:space="preserve">, não o gap potencial de toda a população em idade ativa.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As hipóteses, uma a uma, e o que acontece se falharem.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Seguindo a recomendação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“ser o próprio cético”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w:r>
        <w:rPr>
          <w:rFonts w:ascii="Arial" w:hAnsi="Arial"/>
          <w:sz w:val="22"/>
        </w:rPr>
        <w:t xml:space="preserve">Angrist; Pischke (2009)</w:t>
      </w:r>
      <w:r>
        <w:rPr>
          <w:rFonts w:ascii="Arial" w:hAnsi="Arial"/>
          <w:sz w:val="22"/>
        </w:rPr>
        <w:t xml:space="preserve">, cap. 8):</w:t>
      </w:r>
    </w:p>
    <w:p>
      <w:pPr>
        <w:numPr>
          <w:ilvl w:val="0"/>
          <w:numId w:val="1001"/>
        </w:numPr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Seleção em observáveis (CIA).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gap líquido só é o efeito do tratamento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diferencial se, condicional a</w:t>
      </w:r>
      <w:r>
        <w:rPr>
          <w:rFonts w:ascii="Arial" w:hAnsi="Arial"/>
          <w:sz w:val="22"/>
        </w:rPr>
        <w:t xml:space="preserve"> </w:t>
      </w:r>
      <m:oMath>
        <m:r>
          <m:t>X</m:t>
        </m:r>
      </m:oMath>
      <w:r>
        <w:rPr>
          <w:rFonts w:ascii="Arial" w:hAnsi="Arial"/>
          <w:sz w:val="22"/>
        </w:rPr>
        <w:t xml:space="preserve">, a raça for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“como se”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aleatória. Não é: qualidade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escola, habilidade não medida e redes ficam fora. Se esses omitidos correlacionam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negativamente com ser negro e positivamente com renda, o coeficiente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superestima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discriminação — por isso o gap líquido é apresentado como limite superior dessa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leitura, e o Konfound/E-value quantificam quanto de confundimento seria preciso.</w:t>
      </w:r>
    </w:p>
    <w:p>
      <w:pPr>
        <w:numPr>
          <w:ilvl w:val="0"/>
          <w:numId w:val="1001"/>
        </w:numPr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Bad controls</w:t>
      </w:r>
      <w:r>
        <w:rPr>
          <w:rFonts w:ascii="Arial" w:hAnsi="Arial"/>
          <w:b/>
          <w:bCs/>
          <w:sz w:val="22"/>
        </w:rPr>
        <w:t xml:space="preserve">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Ocupação, formalidade e horas são desfechos 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própria discriminação. Com eles (M4, Oaxaca-Blinder de acesso) o resultado é um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limite inferior descritivo</w:t>
      </w:r>
      <w:r>
        <w:rPr>
          <w:rFonts w:ascii="Arial" w:hAnsi="Arial"/>
          <w:sz w:val="22"/>
        </w:rPr>
        <w:t xml:space="preserve">: a parcela que opera pela porta de entrada some 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conta. Sem eles (M3, especificação (A) da Oaxaca-Blinder) tem-se o gap total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condicional a capital humano e bairro. As duas versões são reportadas lado a lado.</w:t>
      </w:r>
    </w:p>
    <w:p>
      <w:pPr>
        <w:numPr>
          <w:ilvl w:val="0"/>
          <w:numId w:val="1001"/>
        </w:numPr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Reflexo (Manski).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renda média do bairro inclui o próprio indivíduo; usada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como preditor, é mecanicamente informativa. Nos modelos de acesso ela foi removida e,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no XGBoost, substituída pela média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leave-one-out</w:t>
      </w:r>
      <w:r>
        <w:rPr>
          <w:rFonts w:ascii="Arial" w:hAnsi="Arial"/>
          <w:sz w:val="22"/>
        </w:rPr>
        <w:t xml:space="preserve">; ainda assim, choques comuns ao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bairro impedem leitura causal do coeficiente contextual.</w:t>
      </w:r>
    </w:p>
    <w:p>
      <w:pPr>
        <w:numPr>
          <w:ilvl w:val="0"/>
          <w:numId w:val="1001"/>
        </w:numPr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Efeitos aleatórios.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HLM e o GLMM supõem que o efeito de bairro não 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correlacionado com os regressores. Como contraprova, todos os coeficientes foram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reestimados com efeitos fixos de UF e erro-padrão agrupado por UPA, com as mesmas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conclusões (ver a seção Inferência).</w:t>
      </w:r>
    </w:p>
    <w:p>
      <w:pPr>
        <w:numPr>
          <w:ilvl w:val="0"/>
          <w:numId w:val="1001"/>
        </w:numPr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Pesos e desenho amostral.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As estimativas são não ponderadas: descrevem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regressão na amostra. A robustez ponderada pelo peso da PNAD muda o gap em menos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meio ponto percentual.</w:t>
      </w:r>
    </w:p>
    <w:p>
      <w:pPr>
        <w:numPr>
          <w:ilvl w:val="0"/>
          <w:numId w:val="1001"/>
        </w:numPr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Correlação intragrupo.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Ignorá-la subestimaria os erros-padrão (Moulton);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todos os modelos reportam erro-padrão agrupado por UPA ou o modelam por efeito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aleatório, e o agrupamento por UF usa</w:t>
      </w:r>
      <w:r>
        <w:rPr>
          <w:rFonts w:ascii="Arial" w:hAnsi="Arial"/>
          <w:sz w:val="22"/>
        </w:rPr>
        <w:t xml:space="preserve"> </w:t>
      </w:r>
      <m:oMath>
        <m:r>
          <m:t>t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</w:t>
      </w:r>
      <w:r>
        <w:rPr>
          <w:rFonts w:ascii="Arial" w:hAnsi="Arial"/>
          <w:sz w:val="22"/>
        </w:rP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graus de liberdade.</w:t>
      </w:r>
    </w:p>
    <w:p>
      <w:pPr>
        <w:numPr>
          <w:ilvl w:val="0"/>
          <w:numId w:val="1001"/>
        </w:numPr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Significância com</w:t>
      </w:r>
      <w:r>
        <w:rPr>
          <w:rFonts w:ascii="Arial" w:hAnsi="Arial"/>
          <w:b/>
          <w:bCs/>
          <w:sz w:val="22"/>
        </w:rPr>
        <w:t xml:space="preserve"> </w:t>
      </w:r>
      <m:oMath>
        <m:r>
          <m:t>N</m:t>
        </m:r>
      </m:oMath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grande.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 7,7 milhões de observações, quase tudo 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“significativo”</w:t>
      </w:r>
      <w:r>
        <w:rPr>
          <w:rFonts w:ascii="Arial" w:hAnsi="Arial"/>
          <w:sz w:val="22"/>
        </w:rPr>
        <w:t xml:space="preserve">; a leitura privilegia magnitude, intervalos de confiança e E-values,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não asteriscos.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Desenho transversal e direções futuras.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caráter transversal do painel público impede a análise de trajetórias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individuais; o painel rotativo completo com microdado identificado e a extensão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à RAIS permitiriam investigar mobilidade e o teto de vidro em cargos de liderança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 identificação de firma. A análise de redes de co-residência, a tipologia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 agrupamento e a priorização de políticas por pesquisa operacional,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desenvolvidas em versão estendida deste trabalho, ficam como agenda.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Declaração de uso de inteligência artificial.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Na elaboração deste trabalho foram utilizadas ferramentas de inteligência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artificial (Claude Code, da Anthropic) como apoio à implementação e depuração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código (Python e R), à geração de figuras e tabelas e à formatação dos documentos.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concepção da pesquisa, a escolha das metodologias, a interpretação dos resultados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 a redação final são de responsabilidade do autor, que revisou, validou e responde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 todo o conteúdo.</w:t>
      </w:r>
    </w:p>
    <w:bookmarkEnd w:id="88"/>
    <w:bookmarkStart w:id="89" w:name="X6e5363a2ea64c40705be1be4ad3b57716cacb0d"/>
    <w:p>
      <w:pPr>
        <w:pStyle w:val="Ttulo2"/>
        <w:spacing w:line="360" w:lineRule="auto" w:before="280" w:after="280"/>
        <w:ind w:firstLine="709"/>
        <w:jc w:val="left"/>
      </w:pPr>
      <w:r>
        <w:rPr>
          <w:rFonts w:ascii="Arial" w:hAnsi="Arial"/>
          <w:b/>
          <w:sz w:val="22"/>
        </w:rPr>
        <w:t xml:space="preserve">Declaração de uso de inteligência artificial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Na elaboração deste trabalho foram utilizadas ferramentas de inteligência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artificial (Claude Code, da Anthropic) como apoio à implementação e depuração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código (Python e R), à geração de figuras e tabelas e à formatação dos documentos.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concepção da pesquisa, a escolha das metodologias, a interpretação dos resultados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 a redação final são de responsabilidade do autor, que revisou, validou e responde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 todo o conteúdo.</w:t>
      </w:r>
    </w:p>
    <w:bookmarkEnd w:id="89"/>
    <w:bookmarkEnd w:id="90"/>
    <w:bookmarkStart w:id="122" w:name="conclusão"/>
    <w:p>
      <w:pPr>
        <w:pStyle w:val="Heading1"/>
        <w:spacing w:line="360" w:lineRule="auto" w:before="280" w:after="280"/>
        <w:ind w:firstLine="0" w:left="0"/>
        <w:jc w:val="left"/>
      </w:pPr>
      <w:r>
        <w:rPr>
          <w:rFonts w:ascii="Arial" w:hAnsi="Arial"/>
          <w:b/>
          <w:sz w:val="22"/>
        </w:rPr>
        <w:t xml:space="preserve">Conclusão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desigualdade racial no mercado de trabalho brasileiro não se reduziu a um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desconto salarial isolado: operou como um sistema de barreiras em camadas,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começou antes do primeiro salário e persistiu ao longo da trajetória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profissional. Comparados trabalhadores de mesma escolaridade, idade, sexo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bairro, o diferencial de rendimento foi de 10,2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7,0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lida como limite inferior, já que a própria ocupação é resultado da barreira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acesso.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O achado mais relevante para o debate de políticas foi o da barreira de entrada.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 o mesmo perfil observável e no mesmo bairro, trabalhadores negros tiveram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cerca de 30% menos chance de ocupar cargo qualificado e 35%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menos chance de alcançar o décimo superior da renda. Aumentar a escolaridade sem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intervir nos mecanismos de seleção e promoção produz, portanto, retorno marginal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decrescente: as credenciais existem, mas os canais que as convertem em mobilidade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permanecem estreitos.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O contexto de moradia respondeu por 47,0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agregado, o que indica que política de renda que ignore o território tem eficácia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limitada. A desvantagem da mulher negra excedeu 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4,6 pontos percentuais a soma das penalidades de raça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gênero isoladas, de modo que intervenções desenhadas para um eixo de cada vez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deixam de fora justamente quem está na interseção.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Os resultados são estimativas de associação condicional, e não de efeito causal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no sentido contrafactual. Ainda assim, a convergência de quatro métodos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independentes sobre a população completa, a magnitude dos diferenciais e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robustez a confundimento não observado sustentam o diagnóstico: a discriminação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operou sobretudo no acesso à ocupação, e políticas unidimensionais — centradas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apenas em escolaridade, apenas em fiscalização salarial ou apenas em cotas — são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insuficientes para desmontá-lo.</w:t>
      </w:r>
    </w:p>
    <w:bookmarkStart w:id="121" w:name="refs"/>
    <w:bookmarkStart w:id="91" w:name="ref-almeida2019"/>
    <w:p>
      <w:pPr>
        <w:pStyle w:val="Bibliography"/>
        <w:spacing w:line="240" w:lineRule="auto" w:before="0" w:after="120"/>
        <w:ind w:firstLine="0" w:left="0"/>
        <w:jc w:val="left"/>
      </w:pPr>
      <w:r>
        <w:rPr>
          <w:rFonts w:ascii="Arial" w:hAnsi="Arial"/>
          <w:sz w:val="22"/>
        </w:rPr>
        <w:t xml:space="preserve">ALMEIDA, Silvio Luiz de.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Racismo Estrutural</w:t>
      </w:r>
      <w:r>
        <w:rPr>
          <w:rFonts w:ascii="Arial" w:hAnsi="Arial"/>
          <w:sz w:val="22"/>
        </w:rPr>
        <w:t xml:space="preserve">. S</w:t>
      </w:r>
      <w:r>
        <w:rPr>
          <w:rFonts w:ascii="Arial" w:hAnsi="Arial"/>
          <w:sz w:val="22"/>
        </w:rPr>
        <w:t xml:space="preserve">ã</w:t>
      </w:r>
      <w:r>
        <w:rPr>
          <w:rFonts w:ascii="Arial" w:hAnsi="Arial"/>
          <w:sz w:val="22"/>
        </w:rPr>
        <w:t xml:space="preserve">o Paulo: Janda</w:t>
      </w:r>
      <w:r>
        <w:rPr>
          <w:rFonts w:ascii="Arial" w:hAnsi="Arial"/>
          <w:sz w:val="22"/>
        </w:rPr>
        <w:t xml:space="preserve">í</w:t>
      </w:r>
      <w:r>
        <w:rPr>
          <w:rFonts w:ascii="Arial" w:hAnsi="Arial"/>
          <w:sz w:val="22"/>
        </w:rPr>
        <w:t xml:space="preserve">ra, 2019.</w:t>
      </w:r>
    </w:p>
    <w:bookmarkEnd w:id="91"/>
    <w:bookmarkStart w:id="92" w:name="ref-angrist2009"/>
    <w:p>
      <w:pPr>
        <w:pStyle w:val="Bibliography"/>
        <w:spacing w:line="240" w:lineRule="auto" w:before="0" w:after="120"/>
        <w:ind w:firstLine="0" w:left="0"/>
        <w:jc w:val="left"/>
      </w:pPr>
      <w:r>
        <w:rPr>
          <w:rFonts w:ascii="Arial" w:hAnsi="Arial"/>
          <w:sz w:val="22"/>
        </w:rPr>
        <w:t xml:space="preserve">ANGRIST, Joshua D.; PISCHKE, Jörn-Steffen.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Mostly Harmless Econometrics: An Empiricist’s Companion</w:t>
      </w:r>
      <w:r>
        <w:rPr>
          <w:rFonts w:ascii="Arial" w:hAnsi="Arial"/>
          <w:sz w:val="22"/>
        </w:rPr>
        <w:t xml:space="preserve">. Princeton: Princeton University Press, 2009.</w:t>
      </w:r>
    </w:p>
    <w:bookmarkEnd w:id="92"/>
    <w:bookmarkStart w:id="93" w:name="ref-arrow1973"/>
    <w:p>
      <w:pPr>
        <w:pStyle w:val="Bibliography"/>
        <w:spacing w:line="240" w:lineRule="auto" w:before="0" w:after="120"/>
        <w:ind w:firstLine="0" w:left="0"/>
        <w:jc w:val="left"/>
      </w:pPr>
      <w:r>
        <w:rPr>
          <w:rFonts w:ascii="Arial" w:hAnsi="Arial"/>
          <w:sz w:val="22"/>
        </w:rPr>
        <w:t xml:space="preserve">ARROW, Kenneth J. The Theory of Discrimination.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In</w:t>
      </w:r>
      <w:r>
        <w:rPr>
          <w:rFonts w:ascii="Arial" w:hAnsi="Arial"/>
          <w:sz w:val="22"/>
        </w:rPr>
        <w:t xml:space="preserve">: ASHENFELTER, Orley; REES, Albert (Orgs.).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Discrimination in Labor Markets</w:t>
      </w:r>
      <w:r>
        <w:rPr>
          <w:rFonts w:ascii="Arial" w:hAnsi="Arial"/>
          <w:sz w:val="22"/>
        </w:rPr>
        <w:t xml:space="preserve">. Princeton, NJ: Princeton University Press, 1973. p. 3–33.</w:t>
      </w:r>
    </w:p>
    <w:bookmarkEnd w:id="93"/>
    <w:bookmarkStart w:id="94" w:name="ref-becker1957"/>
    <w:p>
      <w:pPr>
        <w:pStyle w:val="Bibliography"/>
        <w:spacing w:line="240" w:lineRule="auto" w:before="0" w:after="120"/>
        <w:ind w:firstLine="0" w:left="0"/>
        <w:jc w:val="left"/>
      </w:pPr>
      <w:r>
        <w:rPr>
          <w:rFonts w:ascii="Arial" w:hAnsi="Arial"/>
          <w:sz w:val="22"/>
        </w:rPr>
        <w:t xml:space="preserve">BECKER, Gary 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The Economics of Discrimination</w:t>
      </w:r>
      <w:r>
        <w:rPr>
          <w:rFonts w:ascii="Arial" w:hAnsi="Arial"/>
          <w:sz w:val="22"/>
        </w:rPr>
        <w:t xml:space="preserve">. Chicago: University of Chicago Press, 1957.</w:t>
      </w:r>
    </w:p>
    <w:bookmarkEnd w:id="94"/>
    <w:bookmarkStart w:id="95" w:name="ref-bickel2008"/>
    <w:p>
      <w:pPr>
        <w:pStyle w:val="Bibliography"/>
        <w:spacing w:line="240" w:lineRule="auto" w:before="0" w:after="120"/>
        <w:ind w:firstLine="0" w:left="0"/>
        <w:jc w:val="left"/>
      </w:pPr>
      <w:r>
        <w:rPr>
          <w:rFonts w:ascii="Arial" w:hAnsi="Arial"/>
          <w:sz w:val="22"/>
        </w:rPr>
        <w:t xml:space="preserve">BICKEL, Peter J.; SAKOV, Anat. On the Choice of</w:t>
      </w:r>
      <w:r>
        <w:rPr>
          <w:rFonts w:ascii="Arial" w:hAnsi="Arial"/>
          <w:sz w:val="22"/>
        </w:rPr>
        <w:t xml:space="preserve"> </w:t>
      </w:r>
      <m:oMath>
        <m:r>
          <m:t>m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 the</w:t>
      </w:r>
      <w:r>
        <w:rPr>
          <w:rFonts w:ascii="Arial" w:hAnsi="Arial"/>
          <w:sz w:val="22"/>
        </w:rPr>
        <w:t xml:space="preserve"> </w:t>
      </w:r>
      <m:oMath>
        <m:r>
          <m:t>m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out of</w:t>
      </w:r>
      <w:r>
        <w:rPr>
          <w:rFonts w:ascii="Arial" w:hAnsi="Arial"/>
          <w:sz w:val="22"/>
        </w:rPr>
        <w:t xml:space="preserve"> </w:t>
      </w:r>
      <m:oMath>
        <m:r>
          <m:t>n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Bootstrap and Confidence Bounds for Extrema.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Statistica Sinica</w:t>
      </w:r>
      <w:r>
        <w:rPr>
          <w:rFonts w:ascii="Arial" w:hAnsi="Arial"/>
          <w:sz w:val="22"/>
        </w:rPr>
        <w:t xml:space="preserve">, v. 18, n. 3, p. 967–985, 2008.</w:t>
      </w:r>
    </w:p>
    <w:bookmarkEnd w:id="95"/>
    <w:bookmarkStart w:id="96" w:name="ref-blinder1973"/>
    <w:p>
      <w:pPr>
        <w:pStyle w:val="Bibliography"/>
        <w:spacing w:line="240" w:lineRule="auto" w:before="0" w:after="120"/>
        <w:ind w:firstLine="0" w:left="0"/>
        <w:jc w:val="left"/>
      </w:pPr>
      <w:r>
        <w:rPr>
          <w:rFonts w:ascii="Arial" w:hAnsi="Arial"/>
          <w:sz w:val="22"/>
        </w:rPr>
        <w:t xml:space="preserve">BLINDER, Alan S. Wage Discrimination: Reduced Form and Structural Estimates.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Journal of Human Resources</w:t>
      </w:r>
      <w:r>
        <w:rPr>
          <w:rFonts w:ascii="Arial" w:hAnsi="Arial"/>
          <w:sz w:val="22"/>
        </w:rPr>
        <w:t xml:space="preserve">, v. 8, n. 4, p. 436–455, 1973.</w:t>
      </w:r>
    </w:p>
    <w:bookmarkEnd w:id="96"/>
    <w:bookmarkStart w:id="97" w:name="ref-breiman2001"/>
    <w:p>
      <w:pPr>
        <w:pStyle w:val="Bibliography"/>
        <w:spacing w:line="240" w:lineRule="auto" w:before="0" w:after="120"/>
        <w:ind w:firstLine="0" w:left="0"/>
        <w:jc w:val="left"/>
      </w:pPr>
      <w:r>
        <w:rPr>
          <w:rFonts w:ascii="Arial" w:hAnsi="Arial"/>
          <w:sz w:val="22"/>
        </w:rPr>
        <w:t xml:space="preserve">BREIMAN, Leo. Random Forests.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Machine Learning</w:t>
      </w:r>
      <w:r>
        <w:rPr>
          <w:rFonts w:ascii="Arial" w:hAnsi="Arial"/>
          <w:sz w:val="22"/>
        </w:rPr>
        <w:t xml:space="preserve">, v. 45, n. 1, p. 5–32, 2001.</w:t>
      </w:r>
    </w:p>
    <w:bookmarkEnd w:id="97"/>
    <w:bookmarkStart w:id="98" w:name="ref-cameron2008"/>
    <w:p>
      <w:pPr>
        <w:pStyle w:val="Bibliography"/>
        <w:spacing w:line="240" w:lineRule="auto" w:before="0" w:after="120"/>
        <w:ind w:firstLine="0" w:left="0"/>
        <w:jc w:val="left"/>
      </w:pPr>
      <w:r>
        <w:rPr>
          <w:rFonts w:ascii="Arial" w:hAnsi="Arial"/>
          <w:sz w:val="22"/>
        </w:rPr>
        <w:t xml:space="preserve">CAMERON, A. Colin; GELBACH, Jonah B.; MILLER, Douglas L. Bootstrap-Based Improvements for Inference with Clustered Errors.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The Review of Economics and Statistics</w:t>
      </w:r>
      <w:r>
        <w:rPr>
          <w:rFonts w:ascii="Arial" w:hAnsi="Arial"/>
          <w:sz w:val="22"/>
        </w:rPr>
        <w:t xml:space="preserve">, v. 90, n. 3, p. 414–427, 2008.</w:t>
      </w:r>
    </w:p>
    <w:bookmarkEnd w:id="98"/>
    <w:bookmarkStart w:id="99" w:name="ref-chen2016"/>
    <w:p>
      <w:pPr>
        <w:pStyle w:val="Bibliography"/>
        <w:spacing w:line="240" w:lineRule="auto" w:before="0" w:after="120"/>
        <w:ind w:firstLine="0" w:left="0"/>
        <w:jc w:val="left"/>
      </w:pPr>
      <w:r>
        <w:rPr>
          <w:rFonts w:ascii="Arial" w:hAnsi="Arial"/>
          <w:sz w:val="22"/>
        </w:rPr>
        <w:t xml:space="preserve">CHEN, Tianqi; GUESTRIN, Carlos.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XGBoost</w:t>
      </w:r>
      <w:r>
        <w:rPr>
          <w:rFonts w:ascii="Arial" w:hAnsi="Arial"/>
          <w:sz w:val="22"/>
        </w:rPr>
        <w:t xml:space="preserve">: A Scalable Tree Boosting System.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In</w:t>
      </w:r>
      <w:r>
        <w:rPr>
          <w:rFonts w:ascii="Arial" w:hAnsi="Arial"/>
          <w:sz w:val="22"/>
        </w:rPr>
        <w:t xml:space="preserve">: 2016.</w:t>
      </w:r>
    </w:p>
    <w:bookmarkEnd w:id="99"/>
    <w:bookmarkStart w:id="100" w:name="ref-duan1983"/>
    <w:p>
      <w:pPr>
        <w:pStyle w:val="Bibliography"/>
        <w:spacing w:line="240" w:lineRule="auto" w:before="0" w:after="120"/>
        <w:ind w:firstLine="0" w:left="0"/>
        <w:jc w:val="left"/>
      </w:pPr>
      <w:r>
        <w:rPr>
          <w:rFonts w:ascii="Arial" w:hAnsi="Arial"/>
          <w:sz w:val="22"/>
        </w:rPr>
        <w:t xml:space="preserve">DUAN, Naihua. Smearing Estimate: A Nonparametric Retransformation Method.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Journal of the American Statistical Association</w:t>
      </w:r>
      <w:r>
        <w:rPr>
          <w:rFonts w:ascii="Arial" w:hAnsi="Arial"/>
          <w:sz w:val="22"/>
        </w:rPr>
        <w:t xml:space="preserve">, v. 78, n. 383, p. 605–610, 1983.</w:t>
      </w:r>
    </w:p>
    <w:bookmarkEnd w:id="100"/>
    <w:bookmarkStart w:id="101" w:name="ref-firpo2018"/>
    <w:p>
      <w:pPr>
        <w:pStyle w:val="Bibliography"/>
        <w:spacing w:line="240" w:lineRule="auto" w:before="0" w:after="120"/>
        <w:ind w:firstLine="0" w:left="0"/>
        <w:jc w:val="left"/>
      </w:pPr>
      <w:r>
        <w:rPr>
          <w:rFonts w:ascii="Arial" w:hAnsi="Arial"/>
          <w:sz w:val="22"/>
        </w:rPr>
        <w:t xml:space="preserve">FIRPO, Sergio P.; FORTIN, Nicole M.; LEMIEUX, Thomas. Decomposing Wage Distributions Using Recentered Influence Function Regressions.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Econometrics</w:t>
      </w:r>
      <w:r>
        <w:rPr>
          <w:rFonts w:ascii="Arial" w:hAnsi="Arial"/>
          <w:sz w:val="22"/>
        </w:rPr>
        <w:t xml:space="preserve">, v. 6, n. 2, p. 28, 2018.</w:t>
      </w:r>
    </w:p>
    <w:bookmarkEnd w:id="101"/>
    <w:bookmarkStart w:id="102" w:name="ref-frank2013"/>
    <w:p>
      <w:pPr>
        <w:pStyle w:val="Bibliography"/>
        <w:spacing w:line="240" w:lineRule="auto" w:before="0" w:after="120"/>
        <w:ind w:firstLine="0" w:left="0"/>
        <w:jc w:val="left"/>
      </w:pPr>
      <w:r>
        <w:rPr>
          <w:rFonts w:ascii="Arial" w:hAnsi="Arial"/>
          <w:sz w:val="22"/>
        </w:rPr>
        <w:t xml:space="preserve">FRANK, Kenneth 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et al.</w:t>
      </w:r>
      <w:r>
        <w:rPr>
          <w:rFonts w:ascii="Arial" w:hAnsi="Arial"/>
          <w:sz w:val="22"/>
        </w:rPr>
        <w:t xml:space="preserve"> What Would It Take to Change an Inference? Using Rubin’s Causal Model to Interpret the Robustness of Causal Inferences.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Educational Evaluation and Policy Analysis</w:t>
      </w:r>
      <w:r>
        <w:rPr>
          <w:rFonts w:ascii="Arial" w:hAnsi="Arial"/>
          <w:sz w:val="22"/>
        </w:rPr>
        <w:t xml:space="preserve">, v. 35, n. 4, p. 437–460, 2013.</w:t>
      </w:r>
    </w:p>
    <w:bookmarkEnd w:id="102"/>
    <w:bookmarkStart w:id="103" w:name="ref-granovetter1973"/>
    <w:p>
      <w:pPr>
        <w:pStyle w:val="Bibliography"/>
        <w:spacing w:line="240" w:lineRule="auto" w:before="0" w:after="120"/>
        <w:ind w:firstLine="0" w:left="0"/>
        <w:jc w:val="left"/>
      </w:pPr>
      <w:r>
        <w:rPr>
          <w:rFonts w:ascii="Arial" w:hAnsi="Arial"/>
          <w:sz w:val="22"/>
        </w:rPr>
        <w:t xml:space="preserve">GRANOVETTER, Mark S. The Strength of Weak Ties.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American Journal of Sociology</w:t>
      </w:r>
      <w:r>
        <w:rPr>
          <w:rFonts w:ascii="Arial" w:hAnsi="Arial"/>
          <w:sz w:val="22"/>
        </w:rPr>
        <w:t xml:space="preserve">, v. 78, n. 6, p. 1360–1380, 1973.</w:t>
      </w:r>
    </w:p>
    <w:bookmarkEnd w:id="103"/>
    <w:bookmarkStart w:id="104" w:name="ref-hasenbalg1979"/>
    <w:p>
      <w:pPr>
        <w:pStyle w:val="Bibliography"/>
        <w:spacing w:line="240" w:lineRule="auto" w:before="0" w:after="120"/>
        <w:ind w:firstLine="0" w:left="0"/>
        <w:jc w:val="left"/>
      </w:pPr>
      <w:r>
        <w:rPr>
          <w:rFonts w:ascii="Arial" w:hAnsi="Arial"/>
          <w:sz w:val="22"/>
        </w:rPr>
        <w:t xml:space="preserve">HASENBALG, Carlos.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Discriminação e Desigualdades Raciais no Brasil</w:t>
      </w:r>
      <w:r>
        <w:rPr>
          <w:rFonts w:ascii="Arial" w:hAnsi="Arial"/>
          <w:sz w:val="22"/>
        </w:rPr>
        <w:t xml:space="preserve">. Rio de Janeiro: Graal, 1979.</w:t>
      </w:r>
    </w:p>
    <w:bookmarkEnd w:id="104"/>
    <w:bookmarkStart w:id="105" w:name="ref-henriques2001"/>
    <w:p>
      <w:pPr>
        <w:pStyle w:val="Bibliography"/>
        <w:spacing w:line="240" w:lineRule="auto" w:before="0" w:after="120"/>
        <w:ind w:firstLine="0" w:left="0"/>
        <w:jc w:val="left"/>
      </w:pPr>
      <w:r>
        <w:rPr>
          <w:rFonts w:ascii="Arial" w:hAnsi="Arial"/>
          <w:sz w:val="22"/>
        </w:rPr>
        <w:t xml:space="preserve">HENRIQUES, Ricardo. Desigualdade Racial no Brasil: Evolução das Condições de Vida na Década de 90.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Texto para Discussão IPEA</w:t>
      </w:r>
      <w:r>
        <w:rPr>
          <w:rFonts w:ascii="Arial" w:hAnsi="Arial"/>
          <w:sz w:val="22"/>
        </w:rPr>
        <w:t xml:space="preserve">, n. 807, 2001.</w:t>
      </w:r>
    </w:p>
    <w:bookmarkEnd w:id="105"/>
    <w:bookmarkStart w:id="106" w:name="ref-ibge_pof_2019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IBGE.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Pesquisa de Orçamentos Familiares 2017–2018: análise da qualidade de vida (Índice de Perda de Qualidade de Vida)</w:t>
      </w:r>
      <w:r>
        <w:rPr>
          <w:rFonts w:ascii="Arial" w:hAnsi="Arial"/>
          <w:sz w:val="22"/>
        </w:rPr>
        <w:t xml:space="preserve">. Rio de Janeiro: Instituto Brasileiro de Geografia e Estatística, 2019.</w:t>
      </w:r>
    </w:p>
    <w:bookmarkEnd w:id="106"/>
    <w:bookmarkStart w:id="107" w:name="ref-ibge_pnad_2023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IBGE.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Pesquisa Nacional por Amostra de Domicílios Contínua: Notas Metodológicas</w:t>
      </w:r>
      <w:r>
        <w:rPr>
          <w:rFonts w:ascii="Arial" w:hAnsi="Arial"/>
          <w:sz w:val="22"/>
        </w:rPr>
        <w:t xml:space="preserve">. Rio de Janeiro: Instituto Brasileiro de Geografia e Estatística, 2023.</w:t>
      </w:r>
    </w:p>
    <w:bookmarkEnd w:id="107"/>
    <w:bookmarkStart w:id="108" w:name="ref-ibge_rendimentos_2025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IBGE.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Pesquisa Nacional por Amostra de Domicílios Contínua: Rendimento de Todas as Fontes 2025</w:t>
      </w:r>
      <w:r>
        <w:rPr>
          <w:rFonts w:ascii="Arial" w:hAnsi="Arial"/>
          <w:sz w:val="22"/>
        </w:rPr>
        <w:t xml:space="preserve">. Rio de Janeiro: Instituto Brasileiro de Geografia e Estatística, 2025.</w:t>
      </w:r>
    </w:p>
    <w:bookmarkEnd w:id="108"/>
    <w:bookmarkStart w:id="109" w:name="ref-koenker1978"/>
    <w:p>
      <w:pPr>
        <w:pStyle w:val="Bibliography"/>
        <w:spacing w:line="240" w:lineRule="auto" w:before="0" w:after="120"/>
        <w:ind w:firstLine="0" w:left="0"/>
        <w:jc w:val="left"/>
      </w:pPr>
      <w:r>
        <w:rPr>
          <w:rFonts w:ascii="Arial" w:hAnsi="Arial"/>
          <w:sz w:val="22"/>
        </w:rPr>
        <w:t xml:space="preserve">KOENKER, Roger; BASSETT, Gilbert. Regression Quantiles.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Econometrica</w:t>
      </w:r>
      <w:r>
        <w:rPr>
          <w:rFonts w:ascii="Arial" w:hAnsi="Arial"/>
          <w:sz w:val="22"/>
        </w:rPr>
        <w:t xml:space="preserve">, v. 46, n. 1, p. 33–50, 1978.</w:t>
      </w:r>
    </w:p>
    <w:bookmarkEnd w:id="109"/>
    <w:bookmarkStart w:id="110" w:name="ref-lundberg2017"/>
    <w:p>
      <w:pPr>
        <w:pStyle w:val="Bibliography"/>
        <w:spacing w:line="240" w:lineRule="auto" w:before="0" w:after="120"/>
        <w:ind w:firstLine="0" w:left="0"/>
        <w:jc w:val="left"/>
      </w:pPr>
      <w:r>
        <w:rPr>
          <w:rFonts w:ascii="Arial" w:hAnsi="Arial"/>
          <w:sz w:val="22"/>
        </w:rPr>
        <w:t xml:space="preserve">LUNDBERG, Scott M.; LEE, Su-In. A Unified Approach to Interpreting Model Predictions.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Advances in Neural Information Processing Systems</w:t>
      </w:r>
      <w:r>
        <w:rPr>
          <w:rFonts w:ascii="Arial" w:hAnsi="Arial"/>
          <w:sz w:val="22"/>
        </w:rPr>
        <w:t xml:space="preserve">, v. 30, 2017.</w:t>
      </w:r>
    </w:p>
    <w:bookmarkEnd w:id="110"/>
    <w:bookmarkStart w:id="111" w:name="ref-manski1993"/>
    <w:p>
      <w:pPr>
        <w:pStyle w:val="Bibliography"/>
        <w:spacing w:line="240" w:lineRule="auto" w:before="0" w:after="120"/>
        <w:ind w:firstLine="0" w:left="0"/>
        <w:jc w:val="left"/>
      </w:pPr>
      <w:r>
        <w:rPr>
          <w:rFonts w:ascii="Arial" w:hAnsi="Arial"/>
          <w:sz w:val="22"/>
        </w:rPr>
        <w:t xml:space="preserve">MANSKI, Charles F. Identification of Endogenous Social Effects: The Reflection Problem.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Review of Economic Studies</w:t>
      </w:r>
      <w:r>
        <w:rPr>
          <w:rFonts w:ascii="Arial" w:hAnsi="Arial"/>
          <w:sz w:val="22"/>
        </w:rPr>
        <w:t xml:space="preserve">, v. 60, n. 3, p. 531–542, 1993.</w:t>
      </w:r>
    </w:p>
    <w:bookmarkEnd w:id="111"/>
    <w:bookmarkStart w:id="112" w:name="ref-marques2010"/>
    <w:p>
      <w:pPr>
        <w:pStyle w:val="Bibliography"/>
        <w:spacing w:line="240" w:lineRule="auto" w:before="0" w:after="120"/>
        <w:ind w:firstLine="0" w:left="0"/>
        <w:jc w:val="left"/>
      </w:pPr>
      <w:r>
        <w:rPr>
          <w:rFonts w:ascii="Arial" w:hAnsi="Arial"/>
          <w:sz w:val="22"/>
        </w:rPr>
        <w:t xml:space="preserve">MARQUES, Eduardo. Redes Sociais, Segregação e Pobreza em São Paulo.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Dados: Revista de Ciências Sociais</w:t>
      </w:r>
      <w:r>
        <w:rPr>
          <w:rFonts w:ascii="Arial" w:hAnsi="Arial"/>
          <w:sz w:val="22"/>
        </w:rPr>
        <w:t xml:space="preserve">, v. 53, n. 1, p. 5–50, 2010.</w:t>
      </w:r>
    </w:p>
    <w:bookmarkEnd w:id="112"/>
    <w:bookmarkStart w:id="113" w:name="ref-oaxaca1973"/>
    <w:p>
      <w:pPr>
        <w:pStyle w:val="Bibliography"/>
        <w:spacing w:line="240" w:lineRule="auto" w:before="0" w:after="120"/>
        <w:ind w:firstLine="0" w:left="0"/>
        <w:jc w:val="left"/>
      </w:pPr>
      <w:r>
        <w:rPr>
          <w:rFonts w:ascii="Arial" w:hAnsi="Arial"/>
          <w:sz w:val="22"/>
        </w:rPr>
        <w:t xml:space="preserve">OAXACA, Ronald. Male-Female Wage Differentials in Urban Labor Markets.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International Economic Review</w:t>
      </w:r>
      <w:r>
        <w:rPr>
          <w:rFonts w:ascii="Arial" w:hAnsi="Arial"/>
          <w:sz w:val="22"/>
        </w:rPr>
        <w:t xml:space="preserve">, v. 14, n. 3, p. 693–709, 1973.</w:t>
      </w:r>
    </w:p>
    <w:bookmarkEnd w:id="113"/>
    <w:bookmarkStart w:id="114" w:name="ref-oaxaca_ransom1999"/>
    <w:p>
      <w:pPr>
        <w:pStyle w:val="Bibliography"/>
        <w:spacing w:line="240" w:lineRule="auto" w:before="0" w:after="120"/>
        <w:ind w:firstLine="0" w:left="0"/>
        <w:jc w:val="left"/>
      </w:pPr>
      <w:r>
        <w:rPr>
          <w:rFonts w:ascii="Arial" w:hAnsi="Arial"/>
          <w:sz w:val="22"/>
        </w:rPr>
        <w:t xml:space="preserve">OAXACA, Ronald L.; RANSOM, Michael R. Identification in Detailed Wage Decompositions.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Review of Economics and Statistics</w:t>
      </w:r>
      <w:r>
        <w:rPr>
          <w:rFonts w:ascii="Arial" w:hAnsi="Arial"/>
          <w:sz w:val="22"/>
        </w:rPr>
        <w:t xml:space="preserve">, v. 81, n. 1, p. 154–157, 1999.</w:t>
      </w:r>
    </w:p>
    <w:bookmarkEnd w:id="114"/>
    <w:bookmarkStart w:id="115" w:name="ref-pager2007"/>
    <w:p>
      <w:pPr>
        <w:pStyle w:val="Bibliography"/>
        <w:spacing w:line="240" w:lineRule="auto" w:before="0" w:after="120"/>
        <w:ind w:firstLine="0" w:left="0"/>
        <w:jc w:val="left"/>
      </w:pPr>
      <w:r>
        <w:rPr>
          <w:rFonts w:ascii="Arial" w:hAnsi="Arial"/>
          <w:sz w:val="22"/>
        </w:rPr>
        <w:t xml:space="preserve">PAGER, Devah.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Marked: Race, Crime, and Finding Work in an Era of Mass Incarceration</w:t>
      </w:r>
      <w:r>
        <w:rPr>
          <w:rFonts w:ascii="Arial" w:hAnsi="Arial"/>
          <w:sz w:val="22"/>
        </w:rPr>
        <w:t xml:space="preserve">. Chicago: University of Chicago Press, 2007.</w:t>
      </w:r>
    </w:p>
    <w:bookmarkEnd w:id="115"/>
    <w:bookmarkStart w:id="116" w:name="ref-raudenbush2002"/>
    <w:p>
      <w:pPr>
        <w:pStyle w:val="Bibliography"/>
        <w:spacing w:line="240" w:lineRule="auto" w:before="0" w:after="120"/>
        <w:ind w:firstLine="0" w:left="0"/>
        <w:jc w:val="left"/>
      </w:pPr>
      <w:r>
        <w:rPr>
          <w:rFonts w:ascii="Arial" w:hAnsi="Arial"/>
          <w:sz w:val="22"/>
        </w:rPr>
        <w:t xml:space="preserve">RAUDENBUSH, Stephen W.; BRYK, Anthony 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Hierarchical Linear Models: Applications and Data Analysis Methods</w:t>
      </w:r>
      <w:r>
        <w:rPr>
          <w:rFonts w:ascii="Arial" w:hAnsi="Arial"/>
          <w:sz w:val="22"/>
        </w:rPr>
        <w:t xml:space="preserve">. 2. ed. Thousand Oaks, CA: Sage, 2002.</w:t>
      </w:r>
    </w:p>
    <w:bookmarkEnd w:id="116"/>
    <w:bookmarkStart w:id="117" w:name="ref-sampson1997"/>
    <w:p>
      <w:pPr>
        <w:pStyle w:val="Bibliography"/>
        <w:spacing w:line="240" w:lineRule="auto" w:before="0" w:after="120"/>
        <w:ind w:firstLine="0" w:left="0"/>
        <w:jc w:val="left"/>
      </w:pPr>
      <w:r>
        <w:rPr>
          <w:rFonts w:ascii="Arial" w:hAnsi="Arial"/>
          <w:sz w:val="22"/>
        </w:rPr>
        <w:t xml:space="preserve">SAMPSON, Robert J.; RAUDENBUSH, Stephen W.; EARLS, Felton. Neighborhoods and Violent Crime: A Multilevel Study of Collective Efficacy.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Science</w:t>
      </w:r>
      <w:r>
        <w:rPr>
          <w:rFonts w:ascii="Arial" w:hAnsi="Arial"/>
          <w:sz w:val="22"/>
        </w:rPr>
        <w:t xml:space="preserve">, v. 277, p. 918–924, 1997.</w:t>
      </w:r>
    </w:p>
    <w:bookmarkEnd w:id="117"/>
    <w:bookmarkStart w:id="118" w:name="ref-soares2009"/>
    <w:p>
      <w:pPr>
        <w:pStyle w:val="Bibliography"/>
        <w:spacing w:line="240" w:lineRule="auto" w:before="0" w:after="120"/>
        <w:ind w:firstLine="0" w:left="0"/>
        <w:jc w:val="left"/>
      </w:pPr>
      <w:r>
        <w:rPr>
          <w:rFonts w:ascii="Arial" w:hAnsi="Arial"/>
          <w:sz w:val="22"/>
        </w:rPr>
        <w:t xml:space="preserve">SOARES, Sergei. Desigualdade Racial de Renda no Brasil: 1976–2006.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Estudos Econômicos</w:t>
      </w:r>
      <w:r>
        <w:rPr>
          <w:rFonts w:ascii="Arial" w:hAnsi="Arial"/>
          <w:sz w:val="22"/>
        </w:rPr>
        <w:t xml:space="preserve">, v. 39, n. 4, p. 803–825, 2009.</w:t>
      </w:r>
    </w:p>
    <w:bookmarkEnd w:id="118"/>
    <w:bookmarkStart w:id="119" w:name="ref-vanderweele2017"/>
    <w:p>
      <w:pPr>
        <w:pStyle w:val="Bibliography"/>
        <w:spacing w:line="240" w:lineRule="auto" w:before="0" w:after="120"/>
        <w:ind w:firstLine="0" w:left="0"/>
        <w:jc w:val="left"/>
      </w:pPr>
      <w:r>
        <w:rPr>
          <w:rFonts w:ascii="Arial" w:hAnsi="Arial"/>
          <w:sz w:val="22"/>
        </w:rPr>
        <w:t xml:space="preserve">VANDERWEELE, Tyler J.; DING, Peng. Sensitivity Analysis in Observational Research: Introducing the E-Value.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Annals of Internal Medicine</w:t>
      </w:r>
      <w:r>
        <w:rPr>
          <w:rFonts w:ascii="Arial" w:hAnsi="Arial"/>
          <w:sz w:val="22"/>
        </w:rPr>
        <w:t xml:space="preserve">, v. 167, n. 4, p. 268–274, 2017.</w:t>
      </w:r>
    </w:p>
    <w:bookmarkEnd w:id="119"/>
    <w:bookmarkStart w:id="120" w:name="ref-wilson1987"/>
    <w:p>
      <w:pPr>
        <w:pStyle w:val="Bibliography"/>
        <w:spacing w:line="240" w:lineRule="auto" w:before="0" w:after="120"/>
        <w:ind w:firstLine="0" w:left="0"/>
        <w:jc w:val="left"/>
      </w:pPr>
      <w:r>
        <w:rPr>
          <w:rFonts w:ascii="Arial" w:hAnsi="Arial"/>
          <w:sz w:val="22"/>
        </w:rPr>
        <w:t xml:space="preserve">WILSON, William J.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The Truly Disadvantaged: The Inner City, the Underclass, and Public Policy</w:t>
      </w:r>
      <w:r>
        <w:rPr>
          <w:rFonts w:ascii="Arial" w:hAnsi="Arial"/>
          <w:sz w:val="22"/>
        </w:rPr>
        <w:t xml:space="preserve">. Chicago: University of Chicago Press, 1987.</w:t>
      </w:r>
    </w:p>
    <w:bookmarkEnd w:id="120"/>
    <w:bookmarkEnd w:id="121"/>
    <w:bookmarkEnd w:id="122"/>
    <w:sectPr w:rsidR="00FE14AF" w:rsidRPr="000B508B" w:rsidSect="00346452">
      <w:headerReference r:id="rId11" w:type="default"/>
      <w:footerReference r:id="rId12" w:type="default"/>
      <w:footerReference r:id="rId13" w:type="first"/>
      <w:headerReference w:type="first" r:id="rId1"/>
      <w:headerReference w:type="even" r:id="rId2"/>
      <w:pgSz w:code="9" w:h="16838" w:w="11906"/>
      <w:pgMar w:bottom="1417" w:footer="709" w:gutter="0" w:header="709" w:left="1417" w:right="1417" w:top="1417"/>
      <w:pgNumType w:start="1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MT">
    <w:altName w:val="Arial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310677" w14:textId="1EFF9085" w:rsidR="00EF1565" w:rsidRPr="00EF1565" w:rsidRDefault="00EF1565">
    <w:pPr>
      <w:pStyle w:val="Rodap"/>
      <w:jc w:val="right"/>
      <w:rPr>
        <w:sz w:val="18"/>
        <w:szCs w:val="18"/>
      </w:rPr>
    </w:pPr>
    <w:r w:rsidRPr="00EF1565">
      <w:rPr>
        <w:sz w:val="18"/>
        <w:szCs w:val="18"/>
      </w:rPr>
      <w:fldChar w:fldCharType="begin"/>
    </w:r>
    <w:r w:rsidRPr="00EF1565">
      <w:rPr>
        <w:sz w:val="18"/>
        <w:szCs w:val="18"/>
      </w:rPr>
      <w:instrText>PAGE   \* MERGEFORMAT</w:instrText>
    </w:r>
    <w:r w:rsidRPr="00EF1565">
      <w:rPr>
        <w:sz w:val="18"/>
        <w:szCs w:val="18"/>
      </w:rPr>
      <w:fldChar w:fldCharType="separate"/>
    </w:r>
    <w:r w:rsidR="00811DE0">
      <w:rPr>
        <w:noProof/>
        <w:sz w:val="18"/>
        <w:szCs w:val="18"/>
      </w:rPr>
      <w:t>4</w:t>
    </w:r>
    <w:r w:rsidRPr="00EF1565">
      <w:rPr>
        <w:sz w:val="18"/>
        <w:szCs w:val="18"/>
      </w:rPr>
      <w:fldChar w:fldCharType="end"/>
    </w:r>
  </w:p>
  <w:p w14:paraId="25D1DCB2" w14:textId="77777777" w:rsidR="00D92CD6" w:rsidRDefault="00D92CD6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DF588E" w14:textId="77777777" w:rsidR="0094025E" w:rsidRDefault="0094025E">
    <w:pPr>
      <w:pStyle w:val="Rodap"/>
      <w:jc w:val="right"/>
    </w:pPr>
  </w:p>
  <w:p w14:paraId="05550BF1" w14:textId="77777777" w:rsidR="0094025E" w:rsidRDefault="0094025E">
    <w:pPr>
      <w:pStyle w:val="Rodap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Os modelos têm o logaritmo do rendimento como variável dependente, de modo que o coeficiente está em log-pontos. A variação percentual correspondente é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100</m:t>
        </m:r>
      </m:oMath>
      <w:r>
        <w:t xml:space="preserve">, e não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×</m:t>
        </m:r>
        <m:r>
          <m:t>100</m:t>
        </m:r>
      </m:oMath>
      <w:r>
        <w:t xml:space="preserve">: para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2123</m:t>
        </m:r>
      </m:oMath>
      <w:r>
        <w:t xml:space="preserve">, por exemplo, tem-se</w:t>
      </w:r>
      <w:r>
        <w:t xml:space="preserve"> </w:t>
      </w:r>
      <m:oMath>
        <m:r>
          <m:rPr>
            <m:sty m:val="p"/>
          </m:rPr>
          <m:t>−</m:t>
        </m:r>
        <m:r>
          <m:t>19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%</m:t>
        </m:r>
      </m:oMath>
      <w:r>
        <w:t xml:space="preserve">, e não</w:t>
      </w:r>
      <w:r>
        <w:t xml:space="preserve"> </w:t>
      </w:r>
      <m:oMath>
        <m:r>
          <m:rPr>
            <m:sty m:val="p"/>
          </m:rPr>
          <m:t>−</m:t>
        </m:r>
        <m:r>
          <m:t>21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%</m:t>
        </m:r>
      </m:oMath>
      <w:r>
        <w:t xml:space="preserve">. As duas leituras se aproximam quando o coeficiente é pequeno e divergem à medida que ele cresce em módulo; todos os percentuais de gap deste trabalho usam a primeira forma.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B3056D" w14:textId="77777777" w:rsidR="00822646" w:rsidRPr="00D52F94" w:rsidRDefault="00822646" w:rsidP="0084737F">
    <w:pPr>
      <w:pStyle w:val="SemEspaamento"/>
      <w:ind w:right="3968"/>
      <w:rPr>
        <w:sz w:val="16"/>
        <w:szCs w:val="17"/>
      </w:rPr>
    </w:pPr>
    <w:r>
      <w:rPr>
        <w:noProof/>
      </w:rPr>
      <w:drawing>
        <wp:anchor distT="0" distB="0" distL="114300" distR="114300" simplePos="0" relativeHeight="251676672" behindDoc="0" locked="0" layoutInCell="1" allowOverlap="1" wp14:anchorId="15F5FC70" wp14:editId="18E219A0">
          <wp:simplePos x="0" y="0"/>
          <wp:positionH relativeFrom="margin">
            <wp:posOffset>5029200</wp:posOffset>
          </wp:positionH>
          <wp:positionV relativeFrom="paragraph">
            <wp:posOffset>-10160</wp:posOffset>
          </wp:positionV>
          <wp:extent cx="723900" cy="298450"/>
          <wp:effectExtent l="0" t="0" r="0" b="6350"/>
          <wp:wrapThrough wrapText="bothSides">
            <wp:wrapPolygon edited="0">
              <wp:start x="0" y="0"/>
              <wp:lineTo x="0" y="20681"/>
              <wp:lineTo x="21032" y="20681"/>
              <wp:lineTo x="21032" y="0"/>
              <wp:lineTo x="0" y="0"/>
            </wp:wrapPolygon>
          </wp:wrapThrough>
          <wp:docPr id="1803984902" name="Imagem 1803984902" descr="Desenho com traços pretos em fundo branco&#10;&#10;Descrição gerada automaticamente com confiança mé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67734149" name="Imagem 3" descr="Desenho com traços pretos em fundo branco&#10;&#10;Descrição gerada automaticamente com confiança médi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23900" cy="298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sz w:val="16"/>
        <w:szCs w:val="17"/>
      </w:rPr>
      <w:t>Trabalho</w:t>
    </w:r>
    <w:r w:rsidRPr="00D52F94">
      <w:rPr>
        <w:sz w:val="16"/>
        <w:szCs w:val="17"/>
      </w:rPr>
      <w:t xml:space="preserve"> </w:t>
    </w:r>
    <w:r>
      <w:rPr>
        <w:sz w:val="16"/>
        <w:szCs w:val="17"/>
      </w:rPr>
      <w:t xml:space="preserve">de Conclusão de Curso </w:t>
    </w:r>
    <w:r w:rsidRPr="00D52F94">
      <w:rPr>
        <w:sz w:val="16"/>
        <w:szCs w:val="17"/>
      </w:rPr>
      <w:t>apresentad</w:t>
    </w:r>
    <w:r>
      <w:rPr>
        <w:sz w:val="16"/>
        <w:szCs w:val="17"/>
      </w:rPr>
      <w:t>o</w:t>
    </w:r>
    <w:r w:rsidRPr="00D52F94">
      <w:rPr>
        <w:sz w:val="16"/>
        <w:szCs w:val="17"/>
      </w:rPr>
      <w:t xml:space="preserve"> para obtenção do título de especialista em</w:t>
    </w:r>
    <w:r>
      <w:rPr>
        <w:sz w:val="16"/>
        <w:szCs w:val="17"/>
      </w:rPr>
      <w:t xml:space="preserve"> Data Science e Analytics – 2026</w:t>
    </w:r>
    <w:r w:rsidRPr="004D48C1">
      <w:t xml:space="preserve"> </w:t>
    </w:r>
  </w:p>
  <w:p w14:paraId="73E404DB" w14:textId="77777777" w:rsidR="00822646" w:rsidRDefault="00822646" w:rsidP="0084737F">
    <w:pPr>
      <w:pStyle w:val="Cabealho"/>
      <w:tabs>
        <w:tab w:val="clear" w:pos="4252"/>
        <w:tab w:val="clear" w:pos="8504"/>
        <w:tab w:val="left" w:pos="1785"/>
      </w:tabs>
    </w:pPr>
    <w:r>
      <w:rPr>
        <w:noProof/>
        <w:lang w:eastAsia="pt-BR"/>
      </w:rPr>
      <mc:AlternateContent>
        <mc:Choice Requires="wps">
          <w:drawing>
            <wp:anchor distT="0" distB="0" distL="114300" distR="114300" simplePos="0" relativeHeight="251675648" behindDoc="0" locked="0" layoutInCell="1" allowOverlap="1" wp14:anchorId="34FDC6CC" wp14:editId="06C05861">
              <wp:simplePos x="0" y="0"/>
              <wp:positionH relativeFrom="margin">
                <wp:align>right</wp:align>
              </wp:positionH>
              <wp:positionV relativeFrom="paragraph">
                <wp:posOffset>106680</wp:posOffset>
              </wp:positionV>
              <wp:extent cx="5753100" cy="0"/>
              <wp:effectExtent l="0" t="0" r="0" b="0"/>
              <wp:wrapNone/>
              <wp:docPr id="844941520" name="Conector reto 8449415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753100" cy="0"/>
                      </a:xfrm>
                      <a:prstGeom prst="line">
                        <a:avLst/>
                      </a:prstGeom>
                      <a:ln w="3175"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a:ln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F3A5B1A" id="Conector reto 844941520" o:spid="_x0000_s1026" style="position:absolute;flip:y;z-index:25167564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401.8pt,8.4pt" to="854.8pt,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" strokecolor="#5a5a5a [2109]" strokeweight=".25pt">
              <w10:wrap anchorx="margin"/>
            </v:line>
          </w:pict>
        </mc:Fallback>
      </mc:AlternateContent>
    </w:r>
    <w:r>
      <w:tab/>
    </w:r>
  </w:p>
  <w:p w14:paraId="0D9B32BC" w14:textId="77777777" w:rsidR="00822646" w:rsidRPr="00D92CD6" w:rsidRDefault="00822646" w:rsidP="0084737F">
    <w:pPr>
      <w:pStyle w:val="Cabealho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585B6087"/>
    <w:multiLevelType w:val="hybridMultilevel"/>
    <w:tmpl w:val="9D705362"/>
    <w:lvl w:ilvl="0" w:tplc="01989CAA">
      <w:start w:val="1"/>
      <w:numFmt w:val="decimal"/>
      <w:lvlText w:val="%1."/>
      <w:lvlJc w:val="left"/>
      <w:pPr>
        <w:ind w:hanging="360" w:left="720"/>
      </w:pPr>
      <w:rPr>
        <w:rFonts w:hint="default"/>
        <w:b/>
      </w:rPr>
    </w:lvl>
    <w:lvl w:ilvl="1" w:tentative="1" w:tplc="04160019">
      <w:start w:val="1"/>
      <w:numFmt w:val="lowerLetter"/>
      <w:lvlText w:val="%2."/>
      <w:lvlJc w:val="left"/>
      <w:pPr>
        <w:ind w:hanging="360" w:left="1440"/>
      </w:pPr>
    </w:lvl>
    <w:lvl w:ilvl="2" w:tentative="1" w:tplc="0416001B">
      <w:start w:val="1"/>
      <w:numFmt w:val="lowerRoman"/>
      <w:lvlText w:val="%3."/>
      <w:lvlJc w:val="right"/>
      <w:pPr>
        <w:ind w:hanging="180" w:left="2160"/>
      </w:pPr>
    </w:lvl>
    <w:lvl w:ilvl="3" w:tentative="1" w:tplc="0416000F">
      <w:start w:val="1"/>
      <w:numFmt w:val="decimal"/>
      <w:lvlText w:val="%4."/>
      <w:lvlJc w:val="left"/>
      <w:pPr>
        <w:ind w:hanging="360" w:left="2880"/>
      </w:pPr>
    </w:lvl>
    <w:lvl w:ilvl="4" w:tentative="1" w:tplc="04160019">
      <w:start w:val="1"/>
      <w:numFmt w:val="lowerLetter"/>
      <w:lvlText w:val="%5."/>
      <w:lvlJc w:val="left"/>
      <w:pPr>
        <w:ind w:hanging="360" w:left="3600"/>
      </w:pPr>
    </w:lvl>
    <w:lvl w:ilvl="5" w:tentative="1" w:tplc="0416001B">
      <w:start w:val="1"/>
      <w:numFmt w:val="lowerRoman"/>
      <w:lvlText w:val="%6."/>
      <w:lvlJc w:val="right"/>
      <w:pPr>
        <w:ind w:hanging="180" w:left="4320"/>
      </w:pPr>
    </w:lvl>
    <w:lvl w:ilvl="6" w:tentative="1" w:tplc="0416000F">
      <w:start w:val="1"/>
      <w:numFmt w:val="decimal"/>
      <w:lvlText w:val="%7."/>
      <w:lvlJc w:val="left"/>
      <w:pPr>
        <w:ind w:hanging="360" w:left="5040"/>
      </w:pPr>
    </w:lvl>
    <w:lvl w:ilvl="7" w:tentative="1" w:tplc="04160019">
      <w:start w:val="1"/>
      <w:numFmt w:val="lowerLetter"/>
      <w:lvlText w:val="%8."/>
      <w:lvlJc w:val="left"/>
      <w:pPr>
        <w:ind w:hanging="360" w:left="5760"/>
      </w:pPr>
    </w:lvl>
    <w:lvl w:ilvl="8" w:tentative="1" w:tplc="0416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77147F67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574"/>
      </w:pPr>
    </w:lvl>
    <w:lvl w:ilvl="2">
      <w:start w:val="1"/>
      <w:numFmt w:val="decimal"/>
      <w:lvlText w:val="%1.%2.%3."/>
      <w:lvlJc w:val="left"/>
      <w:pPr>
        <w:ind w:hanging="504" w:left="646"/>
      </w:pPr>
    </w:lvl>
    <w:lvl w:ilvl="3">
      <w:start w:val="1"/>
      <w:numFmt w:val="decimal"/>
      <w:lvlText w:val="%1.%2.%3.%4."/>
      <w:lvlJc w:val="left"/>
      <w:pPr>
        <w:ind w:hanging="648" w:left="932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16cid:durableId="71783379" w:numId="1">
    <w:abstractNumId w:val="1"/>
  </w:num>
  <w:num w16cid:durableId="1546257329" w:numId="2">
    <w:abstractNumId w:val="0"/>
  </w: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11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5FEB"/>
    <w:rsid w:val="00002D22"/>
    <w:rsid w:val="00002FED"/>
    <w:rsid w:val="0000516E"/>
    <w:rsid w:val="00005FB7"/>
    <w:rsid w:val="00010625"/>
    <w:rsid w:val="000121A2"/>
    <w:rsid w:val="000129BF"/>
    <w:rsid w:val="00015A3B"/>
    <w:rsid w:val="000318BF"/>
    <w:rsid w:val="0003392C"/>
    <w:rsid w:val="00033ABE"/>
    <w:rsid w:val="000379B9"/>
    <w:rsid w:val="000414DF"/>
    <w:rsid w:val="00042541"/>
    <w:rsid w:val="000558A6"/>
    <w:rsid w:val="000569A1"/>
    <w:rsid w:val="0006184C"/>
    <w:rsid w:val="000639C7"/>
    <w:rsid w:val="0006582A"/>
    <w:rsid w:val="00080BC8"/>
    <w:rsid w:val="000A1F2D"/>
    <w:rsid w:val="000A23B0"/>
    <w:rsid w:val="000A46BE"/>
    <w:rsid w:val="000A64CD"/>
    <w:rsid w:val="000A7332"/>
    <w:rsid w:val="000B508B"/>
    <w:rsid w:val="000B6C41"/>
    <w:rsid w:val="000C043D"/>
    <w:rsid w:val="000C3C52"/>
    <w:rsid w:val="000C5E50"/>
    <w:rsid w:val="000D65A6"/>
    <w:rsid w:val="000D7128"/>
    <w:rsid w:val="000E6826"/>
    <w:rsid w:val="000F06D0"/>
    <w:rsid w:val="000F3312"/>
    <w:rsid w:val="000F7383"/>
    <w:rsid w:val="0010264C"/>
    <w:rsid w:val="00103C8C"/>
    <w:rsid w:val="0010566C"/>
    <w:rsid w:val="00106E6C"/>
    <w:rsid w:val="00111217"/>
    <w:rsid w:val="001179F3"/>
    <w:rsid w:val="00123A50"/>
    <w:rsid w:val="001349B7"/>
    <w:rsid w:val="00135FFB"/>
    <w:rsid w:val="0014260C"/>
    <w:rsid w:val="0014711C"/>
    <w:rsid w:val="0015596D"/>
    <w:rsid w:val="00155FEB"/>
    <w:rsid w:val="001650D8"/>
    <w:rsid w:val="00173435"/>
    <w:rsid w:val="0017695E"/>
    <w:rsid w:val="0018079B"/>
    <w:rsid w:val="00183B05"/>
    <w:rsid w:val="00187D7A"/>
    <w:rsid w:val="0019516C"/>
    <w:rsid w:val="00196DB1"/>
    <w:rsid w:val="001A2B26"/>
    <w:rsid w:val="001A3AE9"/>
    <w:rsid w:val="001B0BBE"/>
    <w:rsid w:val="001B29CD"/>
    <w:rsid w:val="001B7001"/>
    <w:rsid w:val="001B7C5F"/>
    <w:rsid w:val="001D44F5"/>
    <w:rsid w:val="001E108A"/>
    <w:rsid w:val="001E6121"/>
    <w:rsid w:val="001E6B8D"/>
    <w:rsid w:val="001F0A4F"/>
    <w:rsid w:val="001F5096"/>
    <w:rsid w:val="001F677B"/>
    <w:rsid w:val="002013ED"/>
    <w:rsid w:val="002138F6"/>
    <w:rsid w:val="00214A52"/>
    <w:rsid w:val="00221EC9"/>
    <w:rsid w:val="00222913"/>
    <w:rsid w:val="00222FB8"/>
    <w:rsid w:val="00225427"/>
    <w:rsid w:val="0023417B"/>
    <w:rsid w:val="00244168"/>
    <w:rsid w:val="00244916"/>
    <w:rsid w:val="00246075"/>
    <w:rsid w:val="00247798"/>
    <w:rsid w:val="00247EAC"/>
    <w:rsid w:val="00250606"/>
    <w:rsid w:val="0025090A"/>
    <w:rsid w:val="00254CD6"/>
    <w:rsid w:val="0026130F"/>
    <w:rsid w:val="00262449"/>
    <w:rsid w:val="0026400A"/>
    <w:rsid w:val="00266914"/>
    <w:rsid w:val="00273955"/>
    <w:rsid w:val="00281B98"/>
    <w:rsid w:val="00282166"/>
    <w:rsid w:val="00286FB4"/>
    <w:rsid w:val="002875D3"/>
    <w:rsid w:val="00295E7E"/>
    <w:rsid w:val="00296614"/>
    <w:rsid w:val="002B5BAD"/>
    <w:rsid w:val="002B7B5A"/>
    <w:rsid w:val="002D0A4C"/>
    <w:rsid w:val="002D35E9"/>
    <w:rsid w:val="002D3B35"/>
    <w:rsid w:val="002D6078"/>
    <w:rsid w:val="002D6AF2"/>
    <w:rsid w:val="002D778A"/>
    <w:rsid w:val="002E3D0D"/>
    <w:rsid w:val="002F1330"/>
    <w:rsid w:val="002F2245"/>
    <w:rsid w:val="002F3830"/>
    <w:rsid w:val="00302BCD"/>
    <w:rsid w:val="003073AE"/>
    <w:rsid w:val="00311C33"/>
    <w:rsid w:val="0031459B"/>
    <w:rsid w:val="00320448"/>
    <w:rsid w:val="00323A4C"/>
    <w:rsid w:val="00325B43"/>
    <w:rsid w:val="00326CAE"/>
    <w:rsid w:val="00330DB8"/>
    <w:rsid w:val="00331021"/>
    <w:rsid w:val="0033468D"/>
    <w:rsid w:val="00346452"/>
    <w:rsid w:val="0035192B"/>
    <w:rsid w:val="00351961"/>
    <w:rsid w:val="003542E3"/>
    <w:rsid w:val="00362B83"/>
    <w:rsid w:val="00363932"/>
    <w:rsid w:val="00364D20"/>
    <w:rsid w:val="00364EBE"/>
    <w:rsid w:val="003664E8"/>
    <w:rsid w:val="003675AB"/>
    <w:rsid w:val="003678EC"/>
    <w:rsid w:val="0037116D"/>
    <w:rsid w:val="003724DA"/>
    <w:rsid w:val="00376C38"/>
    <w:rsid w:val="0038279B"/>
    <w:rsid w:val="00382BEB"/>
    <w:rsid w:val="00383658"/>
    <w:rsid w:val="003923FF"/>
    <w:rsid w:val="003A2BF8"/>
    <w:rsid w:val="003A50AD"/>
    <w:rsid w:val="003A6B04"/>
    <w:rsid w:val="003B3E2D"/>
    <w:rsid w:val="003C0770"/>
    <w:rsid w:val="003C0DDD"/>
    <w:rsid w:val="003C1B38"/>
    <w:rsid w:val="003C65F6"/>
    <w:rsid w:val="003C7E8D"/>
    <w:rsid w:val="003E150B"/>
    <w:rsid w:val="003E36CE"/>
    <w:rsid w:val="003E5D40"/>
    <w:rsid w:val="003E64D0"/>
    <w:rsid w:val="003F02C0"/>
    <w:rsid w:val="003F1EED"/>
    <w:rsid w:val="003F72AE"/>
    <w:rsid w:val="003F77A8"/>
    <w:rsid w:val="00402E00"/>
    <w:rsid w:val="0040349A"/>
    <w:rsid w:val="00406344"/>
    <w:rsid w:val="004139D1"/>
    <w:rsid w:val="00414EA7"/>
    <w:rsid w:val="00421D0A"/>
    <w:rsid w:val="004242F4"/>
    <w:rsid w:val="00424D37"/>
    <w:rsid w:val="00433D1E"/>
    <w:rsid w:val="00433E63"/>
    <w:rsid w:val="004344B3"/>
    <w:rsid w:val="004349A6"/>
    <w:rsid w:val="00435976"/>
    <w:rsid w:val="0044240B"/>
    <w:rsid w:val="004453D9"/>
    <w:rsid w:val="00445A1F"/>
    <w:rsid w:val="0045201D"/>
    <w:rsid w:val="00455C3D"/>
    <w:rsid w:val="004638D2"/>
    <w:rsid w:val="00466F81"/>
    <w:rsid w:val="00467C3B"/>
    <w:rsid w:val="0047191C"/>
    <w:rsid w:val="00471D21"/>
    <w:rsid w:val="00473CFE"/>
    <w:rsid w:val="00474ACC"/>
    <w:rsid w:val="004829D7"/>
    <w:rsid w:val="004A6188"/>
    <w:rsid w:val="004B0852"/>
    <w:rsid w:val="004B3DF1"/>
    <w:rsid w:val="004B570C"/>
    <w:rsid w:val="004B6697"/>
    <w:rsid w:val="004B73BD"/>
    <w:rsid w:val="004C12D2"/>
    <w:rsid w:val="004D48C1"/>
    <w:rsid w:val="004E0540"/>
    <w:rsid w:val="004E1ADB"/>
    <w:rsid w:val="004E2E96"/>
    <w:rsid w:val="005041D4"/>
    <w:rsid w:val="005154B6"/>
    <w:rsid w:val="00516C5E"/>
    <w:rsid w:val="00521FEE"/>
    <w:rsid w:val="00522FDE"/>
    <w:rsid w:val="00527BBF"/>
    <w:rsid w:val="00530C1C"/>
    <w:rsid w:val="005325A6"/>
    <w:rsid w:val="00532A60"/>
    <w:rsid w:val="0053780E"/>
    <w:rsid w:val="005407AB"/>
    <w:rsid w:val="005502EC"/>
    <w:rsid w:val="00551EA4"/>
    <w:rsid w:val="00556C81"/>
    <w:rsid w:val="00580198"/>
    <w:rsid w:val="0058362C"/>
    <w:rsid w:val="00584676"/>
    <w:rsid w:val="0058770B"/>
    <w:rsid w:val="005905F2"/>
    <w:rsid w:val="00592C57"/>
    <w:rsid w:val="00593069"/>
    <w:rsid w:val="00594DC8"/>
    <w:rsid w:val="005A0D62"/>
    <w:rsid w:val="005A12F8"/>
    <w:rsid w:val="005A2BA8"/>
    <w:rsid w:val="005A2F80"/>
    <w:rsid w:val="005A4188"/>
    <w:rsid w:val="005B2400"/>
    <w:rsid w:val="005B3614"/>
    <w:rsid w:val="005B3BCF"/>
    <w:rsid w:val="005B55DF"/>
    <w:rsid w:val="005B69C1"/>
    <w:rsid w:val="005C0B45"/>
    <w:rsid w:val="005C6BA6"/>
    <w:rsid w:val="005D6B9B"/>
    <w:rsid w:val="005E318E"/>
    <w:rsid w:val="005F29F8"/>
    <w:rsid w:val="005F4EB3"/>
    <w:rsid w:val="005F5FEB"/>
    <w:rsid w:val="005F72E8"/>
    <w:rsid w:val="0062319A"/>
    <w:rsid w:val="00636D01"/>
    <w:rsid w:val="00647DBF"/>
    <w:rsid w:val="00656104"/>
    <w:rsid w:val="00657EA6"/>
    <w:rsid w:val="0066110E"/>
    <w:rsid w:val="006805F5"/>
    <w:rsid w:val="00681AD7"/>
    <w:rsid w:val="00683832"/>
    <w:rsid w:val="00684110"/>
    <w:rsid w:val="00687D18"/>
    <w:rsid w:val="006926E3"/>
    <w:rsid w:val="0069588D"/>
    <w:rsid w:val="006A0317"/>
    <w:rsid w:val="006B3841"/>
    <w:rsid w:val="006B4497"/>
    <w:rsid w:val="006B4591"/>
    <w:rsid w:val="006C2C8C"/>
    <w:rsid w:val="006C720C"/>
    <w:rsid w:val="006D2995"/>
    <w:rsid w:val="006D7365"/>
    <w:rsid w:val="006D7A7F"/>
    <w:rsid w:val="006D7B11"/>
    <w:rsid w:val="006E1A8E"/>
    <w:rsid w:val="006E5D44"/>
    <w:rsid w:val="006E64EF"/>
    <w:rsid w:val="006F0623"/>
    <w:rsid w:val="006F2620"/>
    <w:rsid w:val="006F566A"/>
    <w:rsid w:val="006F78BE"/>
    <w:rsid w:val="006F7EBA"/>
    <w:rsid w:val="007028AE"/>
    <w:rsid w:val="00706669"/>
    <w:rsid w:val="00713C0C"/>
    <w:rsid w:val="00715294"/>
    <w:rsid w:val="0072023F"/>
    <w:rsid w:val="0072115B"/>
    <w:rsid w:val="00721949"/>
    <w:rsid w:val="00721A84"/>
    <w:rsid w:val="00723D29"/>
    <w:rsid w:val="007272C9"/>
    <w:rsid w:val="00731468"/>
    <w:rsid w:val="007433D4"/>
    <w:rsid w:val="0074342F"/>
    <w:rsid w:val="007450A6"/>
    <w:rsid w:val="00753001"/>
    <w:rsid w:val="007551BF"/>
    <w:rsid w:val="00767FCF"/>
    <w:rsid w:val="00770024"/>
    <w:rsid w:val="007749A1"/>
    <w:rsid w:val="0078405D"/>
    <w:rsid w:val="00784D7A"/>
    <w:rsid w:val="007854B3"/>
    <w:rsid w:val="007979B1"/>
    <w:rsid w:val="007A2A3C"/>
    <w:rsid w:val="007A658E"/>
    <w:rsid w:val="007B0806"/>
    <w:rsid w:val="007B0FB7"/>
    <w:rsid w:val="007C6844"/>
    <w:rsid w:val="007E290A"/>
    <w:rsid w:val="007F4591"/>
    <w:rsid w:val="007F54A6"/>
    <w:rsid w:val="007F57A4"/>
    <w:rsid w:val="00800FF0"/>
    <w:rsid w:val="00811A4F"/>
    <w:rsid w:val="00811DE0"/>
    <w:rsid w:val="00812949"/>
    <w:rsid w:val="0081660B"/>
    <w:rsid w:val="00822646"/>
    <w:rsid w:val="00822F6A"/>
    <w:rsid w:val="008259B0"/>
    <w:rsid w:val="00826D39"/>
    <w:rsid w:val="00833B09"/>
    <w:rsid w:val="00834D05"/>
    <w:rsid w:val="00835CCF"/>
    <w:rsid w:val="00836CE1"/>
    <w:rsid w:val="008421B8"/>
    <w:rsid w:val="00842D35"/>
    <w:rsid w:val="008443FF"/>
    <w:rsid w:val="008453BB"/>
    <w:rsid w:val="0084737F"/>
    <w:rsid w:val="008545E0"/>
    <w:rsid w:val="00860F38"/>
    <w:rsid w:val="0087237C"/>
    <w:rsid w:val="00872B6C"/>
    <w:rsid w:val="0088331B"/>
    <w:rsid w:val="00884826"/>
    <w:rsid w:val="00886138"/>
    <w:rsid w:val="00886CFD"/>
    <w:rsid w:val="00890B17"/>
    <w:rsid w:val="008923FD"/>
    <w:rsid w:val="0089638E"/>
    <w:rsid w:val="008A1677"/>
    <w:rsid w:val="008A3CF6"/>
    <w:rsid w:val="008B0031"/>
    <w:rsid w:val="008B038A"/>
    <w:rsid w:val="008B0687"/>
    <w:rsid w:val="008B4775"/>
    <w:rsid w:val="008B5BBC"/>
    <w:rsid w:val="008C5578"/>
    <w:rsid w:val="008C7AB1"/>
    <w:rsid w:val="008D2C4F"/>
    <w:rsid w:val="008D3984"/>
    <w:rsid w:val="008D541D"/>
    <w:rsid w:val="008E02ED"/>
    <w:rsid w:val="008E34A4"/>
    <w:rsid w:val="008E45B7"/>
    <w:rsid w:val="008E4B54"/>
    <w:rsid w:val="008F2AC4"/>
    <w:rsid w:val="008F4149"/>
    <w:rsid w:val="008F707D"/>
    <w:rsid w:val="00904079"/>
    <w:rsid w:val="00904BC2"/>
    <w:rsid w:val="00906BFA"/>
    <w:rsid w:val="00916A5A"/>
    <w:rsid w:val="00917196"/>
    <w:rsid w:val="00921558"/>
    <w:rsid w:val="009248B0"/>
    <w:rsid w:val="00926F3A"/>
    <w:rsid w:val="009319BD"/>
    <w:rsid w:val="00931D71"/>
    <w:rsid w:val="00932E28"/>
    <w:rsid w:val="0093332B"/>
    <w:rsid w:val="0094025E"/>
    <w:rsid w:val="0094383B"/>
    <w:rsid w:val="009629EB"/>
    <w:rsid w:val="00964DE5"/>
    <w:rsid w:val="00973982"/>
    <w:rsid w:val="00981503"/>
    <w:rsid w:val="009908C5"/>
    <w:rsid w:val="009924AC"/>
    <w:rsid w:val="00992731"/>
    <w:rsid w:val="00992A07"/>
    <w:rsid w:val="009934FC"/>
    <w:rsid w:val="009A06AA"/>
    <w:rsid w:val="009C5437"/>
    <w:rsid w:val="009D2D67"/>
    <w:rsid w:val="009D4560"/>
    <w:rsid w:val="009D7441"/>
    <w:rsid w:val="009D7C2D"/>
    <w:rsid w:val="009E3D42"/>
    <w:rsid w:val="009E6355"/>
    <w:rsid w:val="009E7FB7"/>
    <w:rsid w:val="009F11F4"/>
    <w:rsid w:val="009F43AE"/>
    <w:rsid w:val="00A045BD"/>
    <w:rsid w:val="00A06683"/>
    <w:rsid w:val="00A143E9"/>
    <w:rsid w:val="00A3138A"/>
    <w:rsid w:val="00A32965"/>
    <w:rsid w:val="00A4125E"/>
    <w:rsid w:val="00A44F29"/>
    <w:rsid w:val="00A46080"/>
    <w:rsid w:val="00A464FF"/>
    <w:rsid w:val="00A472A0"/>
    <w:rsid w:val="00A47C29"/>
    <w:rsid w:val="00A47DAE"/>
    <w:rsid w:val="00A52C33"/>
    <w:rsid w:val="00A52F5E"/>
    <w:rsid w:val="00A53AF4"/>
    <w:rsid w:val="00A65683"/>
    <w:rsid w:val="00A67C44"/>
    <w:rsid w:val="00A74221"/>
    <w:rsid w:val="00A74EC3"/>
    <w:rsid w:val="00A7611A"/>
    <w:rsid w:val="00A7743E"/>
    <w:rsid w:val="00A77E1E"/>
    <w:rsid w:val="00A77E89"/>
    <w:rsid w:val="00A82D84"/>
    <w:rsid w:val="00A8576D"/>
    <w:rsid w:val="00AA1EDC"/>
    <w:rsid w:val="00AA6708"/>
    <w:rsid w:val="00AB3AFC"/>
    <w:rsid w:val="00AB5872"/>
    <w:rsid w:val="00AC5332"/>
    <w:rsid w:val="00AE2179"/>
    <w:rsid w:val="00AF384D"/>
    <w:rsid w:val="00AF625F"/>
    <w:rsid w:val="00AF7A61"/>
    <w:rsid w:val="00B0103A"/>
    <w:rsid w:val="00B0110A"/>
    <w:rsid w:val="00B057DD"/>
    <w:rsid w:val="00B15503"/>
    <w:rsid w:val="00B34D23"/>
    <w:rsid w:val="00B35358"/>
    <w:rsid w:val="00B35F3F"/>
    <w:rsid w:val="00B523BB"/>
    <w:rsid w:val="00B5289B"/>
    <w:rsid w:val="00B5612B"/>
    <w:rsid w:val="00B57893"/>
    <w:rsid w:val="00B61F0B"/>
    <w:rsid w:val="00B67CC1"/>
    <w:rsid w:val="00B73815"/>
    <w:rsid w:val="00B73DB7"/>
    <w:rsid w:val="00B754B6"/>
    <w:rsid w:val="00B75E60"/>
    <w:rsid w:val="00B87C3E"/>
    <w:rsid w:val="00B9605E"/>
    <w:rsid w:val="00BA0816"/>
    <w:rsid w:val="00BA46B0"/>
    <w:rsid w:val="00BA6DB1"/>
    <w:rsid w:val="00BB309B"/>
    <w:rsid w:val="00BB4B6C"/>
    <w:rsid w:val="00BB536E"/>
    <w:rsid w:val="00BB5AD1"/>
    <w:rsid w:val="00BB5F29"/>
    <w:rsid w:val="00BB71DF"/>
    <w:rsid w:val="00BC166E"/>
    <w:rsid w:val="00BD1169"/>
    <w:rsid w:val="00BD34AF"/>
    <w:rsid w:val="00BD553F"/>
    <w:rsid w:val="00BD7975"/>
    <w:rsid w:val="00BE29D8"/>
    <w:rsid w:val="00BE3924"/>
    <w:rsid w:val="00BE69F5"/>
    <w:rsid w:val="00BF2F82"/>
    <w:rsid w:val="00BF7046"/>
    <w:rsid w:val="00C03610"/>
    <w:rsid w:val="00C0430F"/>
    <w:rsid w:val="00C078A5"/>
    <w:rsid w:val="00C232C9"/>
    <w:rsid w:val="00C24BEA"/>
    <w:rsid w:val="00C25E55"/>
    <w:rsid w:val="00C26E78"/>
    <w:rsid w:val="00C278FE"/>
    <w:rsid w:val="00C32785"/>
    <w:rsid w:val="00C32EE4"/>
    <w:rsid w:val="00C32F20"/>
    <w:rsid w:val="00C55413"/>
    <w:rsid w:val="00C55528"/>
    <w:rsid w:val="00C56AA8"/>
    <w:rsid w:val="00C6199B"/>
    <w:rsid w:val="00C64E7D"/>
    <w:rsid w:val="00C651A5"/>
    <w:rsid w:val="00C7177A"/>
    <w:rsid w:val="00C73EAF"/>
    <w:rsid w:val="00C75301"/>
    <w:rsid w:val="00C77BD3"/>
    <w:rsid w:val="00C8729A"/>
    <w:rsid w:val="00C91095"/>
    <w:rsid w:val="00C94381"/>
    <w:rsid w:val="00CA3CF8"/>
    <w:rsid w:val="00CA4788"/>
    <w:rsid w:val="00CA75CC"/>
    <w:rsid w:val="00CA75F3"/>
    <w:rsid w:val="00CB3A48"/>
    <w:rsid w:val="00CB4C42"/>
    <w:rsid w:val="00CC0E3E"/>
    <w:rsid w:val="00CC2AF5"/>
    <w:rsid w:val="00CC3CB5"/>
    <w:rsid w:val="00CC6166"/>
    <w:rsid w:val="00CD54BE"/>
    <w:rsid w:val="00CD612F"/>
    <w:rsid w:val="00CD61E0"/>
    <w:rsid w:val="00CD7E25"/>
    <w:rsid w:val="00CE3E82"/>
    <w:rsid w:val="00CE3EB4"/>
    <w:rsid w:val="00CE617C"/>
    <w:rsid w:val="00CF4624"/>
    <w:rsid w:val="00CF5BE5"/>
    <w:rsid w:val="00D0473F"/>
    <w:rsid w:val="00D172FA"/>
    <w:rsid w:val="00D20B96"/>
    <w:rsid w:val="00D2204B"/>
    <w:rsid w:val="00D23C50"/>
    <w:rsid w:val="00D31253"/>
    <w:rsid w:val="00D35847"/>
    <w:rsid w:val="00D40DDD"/>
    <w:rsid w:val="00D430F6"/>
    <w:rsid w:val="00D43D03"/>
    <w:rsid w:val="00D448AF"/>
    <w:rsid w:val="00D45EA7"/>
    <w:rsid w:val="00D475D2"/>
    <w:rsid w:val="00D50856"/>
    <w:rsid w:val="00D52F94"/>
    <w:rsid w:val="00D56FB6"/>
    <w:rsid w:val="00D65298"/>
    <w:rsid w:val="00D706A2"/>
    <w:rsid w:val="00D72013"/>
    <w:rsid w:val="00D757B2"/>
    <w:rsid w:val="00D85677"/>
    <w:rsid w:val="00D91E0D"/>
    <w:rsid w:val="00D92CD6"/>
    <w:rsid w:val="00D93A72"/>
    <w:rsid w:val="00DB07AF"/>
    <w:rsid w:val="00DB1D8D"/>
    <w:rsid w:val="00DB4B1B"/>
    <w:rsid w:val="00DB5464"/>
    <w:rsid w:val="00DC1FA9"/>
    <w:rsid w:val="00DD0D55"/>
    <w:rsid w:val="00DD3BF8"/>
    <w:rsid w:val="00DD423D"/>
    <w:rsid w:val="00DD6CA9"/>
    <w:rsid w:val="00DE4D59"/>
    <w:rsid w:val="00DF03DC"/>
    <w:rsid w:val="00DF0D6E"/>
    <w:rsid w:val="00DF23DE"/>
    <w:rsid w:val="00DF74F8"/>
    <w:rsid w:val="00E0030F"/>
    <w:rsid w:val="00E0114C"/>
    <w:rsid w:val="00E039FF"/>
    <w:rsid w:val="00E05E3E"/>
    <w:rsid w:val="00E12124"/>
    <w:rsid w:val="00E12A3E"/>
    <w:rsid w:val="00E14849"/>
    <w:rsid w:val="00E16313"/>
    <w:rsid w:val="00E1740E"/>
    <w:rsid w:val="00E25839"/>
    <w:rsid w:val="00E3132F"/>
    <w:rsid w:val="00E37B97"/>
    <w:rsid w:val="00E45517"/>
    <w:rsid w:val="00E470FC"/>
    <w:rsid w:val="00E504EE"/>
    <w:rsid w:val="00E54D23"/>
    <w:rsid w:val="00E54DFB"/>
    <w:rsid w:val="00E5522F"/>
    <w:rsid w:val="00E575F6"/>
    <w:rsid w:val="00E61157"/>
    <w:rsid w:val="00E71060"/>
    <w:rsid w:val="00E80C1F"/>
    <w:rsid w:val="00E835B5"/>
    <w:rsid w:val="00E87EBF"/>
    <w:rsid w:val="00E92DB9"/>
    <w:rsid w:val="00E9452C"/>
    <w:rsid w:val="00EA072E"/>
    <w:rsid w:val="00EA1390"/>
    <w:rsid w:val="00EA1D8A"/>
    <w:rsid w:val="00EA275D"/>
    <w:rsid w:val="00EA60A7"/>
    <w:rsid w:val="00EA66D6"/>
    <w:rsid w:val="00EB1E46"/>
    <w:rsid w:val="00EB3BDE"/>
    <w:rsid w:val="00EB5E64"/>
    <w:rsid w:val="00EC22D7"/>
    <w:rsid w:val="00EC7116"/>
    <w:rsid w:val="00ED77AE"/>
    <w:rsid w:val="00EE21D2"/>
    <w:rsid w:val="00EE487E"/>
    <w:rsid w:val="00EE568D"/>
    <w:rsid w:val="00EE604D"/>
    <w:rsid w:val="00EE773C"/>
    <w:rsid w:val="00EF1565"/>
    <w:rsid w:val="00EF1F11"/>
    <w:rsid w:val="00EF3BA4"/>
    <w:rsid w:val="00EF3BB2"/>
    <w:rsid w:val="00EF52B5"/>
    <w:rsid w:val="00EF654F"/>
    <w:rsid w:val="00EF7DDF"/>
    <w:rsid w:val="00F0090B"/>
    <w:rsid w:val="00F0606D"/>
    <w:rsid w:val="00F060A0"/>
    <w:rsid w:val="00F070EE"/>
    <w:rsid w:val="00F14CB3"/>
    <w:rsid w:val="00F21C79"/>
    <w:rsid w:val="00F23EFD"/>
    <w:rsid w:val="00F30BB0"/>
    <w:rsid w:val="00F339BF"/>
    <w:rsid w:val="00F535FD"/>
    <w:rsid w:val="00F55615"/>
    <w:rsid w:val="00F56CDC"/>
    <w:rsid w:val="00F624CF"/>
    <w:rsid w:val="00F64035"/>
    <w:rsid w:val="00F80D3F"/>
    <w:rsid w:val="00F8568D"/>
    <w:rsid w:val="00F87530"/>
    <w:rsid w:val="00F91A5E"/>
    <w:rsid w:val="00F92198"/>
    <w:rsid w:val="00F95F8E"/>
    <w:rsid w:val="00FA6ECF"/>
    <w:rsid w:val="00FB42DE"/>
    <w:rsid w:val="00FB4469"/>
    <w:rsid w:val="00FC55A7"/>
    <w:rsid w:val="00FD2C4C"/>
    <w:rsid w:val="00FD4E5F"/>
    <w:rsid w:val="00FE14AF"/>
    <w:rsid w:val="00FE46A3"/>
    <w:rsid w:val="00FE52BF"/>
    <w:rsid w:val="00FF0C72"/>
  </w:rsids>
  <w:themeFontLang w:val="pt-BR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Arial" w:eastAsiaTheme="minorHAnsi" w:hAnsi="Arial"/>
        <w:sz w:val="22"/>
        <w:szCs w:val="22"/>
        <w:lang w:bidi="ar-SA" w:eastAsia="en-US" w:val="pt-BR"/>
      </w:rPr>
    </w:rPrDefault>
    <w:pPrDefault>
      <w:pPr>
        <w:spacing w:line="276" w:lineRule="auto"/>
        <w:jc w:val="both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Pr>
      <w:rFonts w:ascii="Arial" w:hAnsi="Arial"/>
      <w:sz w:val="22"/>
    </w:rPr>
  </w:style>
  <w:style w:styleId="Ttulo2" w:type="paragraph">
    <w:name w:val="heading 2"/>
    <w:basedOn w:val="Normal"/>
    <w:next w:val="Normal"/>
    <w:link w:val="Ttulo2Char"/>
    <w:uiPriority w:val="9"/>
    <w:unhideWhenUsed/>
    <w:qFormat/>
    <w:rsid w:val="000414DF"/>
    <w:pPr>
      <w:keepNext/>
      <w:keepLines/>
      <w:spacing w:before="200"/>
      <w:jc w:val="left"/>
      <w:outlineLvl w:val="1"/>
    </w:pPr>
    <w:rPr>
      <w:rFonts w:cstheme="majorBidi" w:eastAsiaTheme="majorEastAsia"/>
      <w:b/>
      <w:bCs/>
      <w:color w:themeColor="text1" w:val="000000"/>
      <w:szCs w:val="26"/>
      <w:lang w:val="en-US"/>
    </w:rPr>
  </w:style>
  <w:style w:default="1" w:styleId="Fontepargpadro" w:type="character">
    <w:name w:val="Default Paragraph Font"/>
    <w:uiPriority w:val="1"/>
    <w:semiHidden/>
    <w:unhideWhenUsed/>
  </w:style>
  <w:style w:default="1" w:styleId="Tabe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emlista" w:type="numbering">
    <w:name w:val="No List"/>
    <w:uiPriority w:val="99"/>
    <w:semiHidden/>
    <w:unhideWhenUsed/>
  </w:style>
  <w:style w:customStyle="1" w:styleId="Ttulo2Char" w:type="character">
    <w:name w:val="Título 2 Char"/>
    <w:basedOn w:val="Fontepargpadro"/>
    <w:link w:val="Ttulo2"/>
    <w:uiPriority w:val="9"/>
    <w:rsid w:val="000414DF"/>
    <w:rPr>
      <w:rFonts w:ascii="Arial" w:cstheme="majorBidi" w:eastAsiaTheme="majorEastAsia" w:hAnsi="Arial"/>
      <w:b/>
      <w:bCs/>
      <w:color w:themeColor="text1" w:val="000000"/>
      <w:szCs w:val="26"/>
      <w:lang w:val="en-US"/>
    </w:rPr>
  </w:style>
  <w:style w:styleId="Nmerodelinha" w:type="character">
    <w:name w:val="line number"/>
    <w:basedOn w:val="Fontepargpadro"/>
    <w:uiPriority w:val="99"/>
    <w:semiHidden/>
    <w:unhideWhenUsed/>
    <w:rsid w:val="005F5FEB"/>
  </w:style>
  <w:style w:styleId="Cabealho" w:type="paragraph">
    <w:name w:val="header"/>
    <w:basedOn w:val="Normal"/>
    <w:link w:val="CabealhoChar"/>
    <w:uiPriority w:val="99"/>
    <w:unhideWhenUsed/>
    <w:rsid w:val="005F5FEB"/>
    <w:pPr>
      <w:tabs>
        <w:tab w:pos="4252" w:val="center"/>
        <w:tab w:pos="8504" w:val="right"/>
      </w:tabs>
      <w:spacing w:line="240" w:lineRule="auto"/>
    </w:pPr>
  </w:style>
  <w:style w:customStyle="1" w:styleId="CabealhoChar" w:type="character">
    <w:name w:val="Cabeçalho Char"/>
    <w:basedOn w:val="Fontepargpadro"/>
    <w:link w:val="Cabealho"/>
    <w:uiPriority w:val="99"/>
    <w:rsid w:val="005F5FEB"/>
  </w:style>
  <w:style w:styleId="Rodap" w:type="paragraph">
    <w:name w:val="footer"/>
    <w:basedOn w:val="Normal"/>
    <w:link w:val="RodapChar"/>
    <w:uiPriority w:val="99"/>
    <w:unhideWhenUsed/>
    <w:rsid w:val="005F5FEB"/>
    <w:pPr>
      <w:tabs>
        <w:tab w:pos="4252" w:val="center"/>
        <w:tab w:pos="8504" w:val="right"/>
      </w:tabs>
      <w:spacing w:line="240" w:lineRule="auto"/>
    </w:pPr>
  </w:style>
  <w:style w:customStyle="1" w:styleId="RodapChar" w:type="character">
    <w:name w:val="Rodapé Char"/>
    <w:basedOn w:val="Fontepargpadro"/>
    <w:link w:val="Rodap"/>
    <w:uiPriority w:val="99"/>
    <w:rsid w:val="005F5FEB"/>
  </w:style>
  <w:style w:styleId="Hyperlink" w:type="character">
    <w:name w:val="Hyperlink"/>
    <w:basedOn w:val="Fontepargpadro"/>
    <w:uiPriority w:val="99"/>
    <w:unhideWhenUsed/>
    <w:rsid w:val="00AA1EDC"/>
    <w:rPr>
      <w:color w:themeColor="hyperlink" w:val="0000FF"/>
      <w:u w:val="single"/>
    </w:rPr>
  </w:style>
  <w:style w:styleId="Textodebalo" w:type="paragraph">
    <w:name w:val="Balloon Text"/>
    <w:basedOn w:val="Normal"/>
    <w:link w:val="TextodebaloChar"/>
    <w:uiPriority w:val="99"/>
    <w:semiHidden/>
    <w:unhideWhenUsed/>
    <w:rsid w:val="001E108A"/>
    <w:pPr>
      <w:spacing w:line="240" w:lineRule="auto"/>
    </w:pPr>
    <w:rPr>
      <w:rFonts w:ascii="Tahoma" w:cs="Tahoma" w:hAnsi="Tahoma"/>
      <w:sz w:val="16"/>
      <w:szCs w:val="16"/>
    </w:rPr>
  </w:style>
  <w:style w:customStyle="1" w:styleId="TextodebaloChar" w:type="character">
    <w:name w:val="Texto de balão Char"/>
    <w:basedOn w:val="Fontepargpadro"/>
    <w:link w:val="Textodebalo"/>
    <w:uiPriority w:val="99"/>
    <w:semiHidden/>
    <w:rsid w:val="001E108A"/>
    <w:rPr>
      <w:rFonts w:ascii="Tahoma" w:cs="Tahoma" w:hAnsi="Tahoma"/>
      <w:sz w:val="16"/>
      <w:szCs w:val="16"/>
    </w:rPr>
  </w:style>
  <w:style w:styleId="SemEspaamento" w:type="paragraph">
    <w:name w:val="No Spacing"/>
    <w:uiPriority w:val="1"/>
    <w:qFormat/>
    <w:rsid w:val="001E108A"/>
    <w:pPr>
      <w:spacing w:line="240" w:lineRule="auto"/>
    </w:pPr>
  </w:style>
  <w:style w:styleId="PargrafodaLista" w:type="paragraph">
    <w:name w:val="List Paragraph"/>
    <w:basedOn w:val="Normal"/>
    <w:uiPriority w:val="34"/>
    <w:qFormat/>
    <w:rsid w:val="009629EB"/>
    <w:pPr>
      <w:ind w:left="720"/>
      <w:contextualSpacing/>
    </w:pPr>
  </w:style>
  <w:style w:styleId="Reviso" w:type="paragraph">
    <w:name w:val="Revision"/>
    <w:hidden/>
    <w:uiPriority w:val="99"/>
    <w:semiHidden/>
    <w:rsid w:val="00AF384D"/>
    <w:pPr>
      <w:spacing w:line="240" w:lineRule="auto"/>
      <w:jc w:val="left"/>
    </w:pPr>
  </w:style>
  <w:style w:customStyle="1" w:styleId="fontstyle01" w:type="character">
    <w:name w:val="fontstyle01"/>
    <w:basedOn w:val="Fontepargpadro"/>
    <w:rsid w:val="00AF384D"/>
    <w:rPr>
      <w:rFonts w:ascii="ArialMT" w:hAnsi="ArialMT" w:hint="default"/>
      <w:b w:val="0"/>
      <w:bCs w:val="0"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Fontepargpadro"/>
    <w:rsid w:val="00DF03DC"/>
  </w:style>
  <w:style w:styleId="Tabelacomgrade" w:type="table">
    <w:name w:val="Table Grid"/>
    <w:basedOn w:val="Tabelanormal"/>
    <w:uiPriority w:val="59"/>
    <w:rsid w:val="00DB4B1B"/>
    <w:pPr>
      <w:spacing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implesTabela2" w:type="table">
    <w:name w:val="Plain Table 2"/>
    <w:basedOn w:val="Tabelanormal"/>
    <w:uiPriority w:val="42"/>
    <w:rsid w:val="00DB4B1B"/>
    <w:pPr>
      <w:spacing w:line="240" w:lineRule="auto"/>
    </w:pPr>
    <w:tblPr>
      <w:tblStyleRowBandSize w:val="1"/>
      <w:tblStyleColBandSize w:val="1"/>
      <w:tblBorders>
        <w:top w:color="7F7F7F" w:space="0" w:sz="4" w:themeColor="text1" w:themeTint="80" w:val="single"/>
        <w:bottom w:color="7F7F7F" w:space="0" w:sz="4" w:themeColor="text1" w:themeTint="80" w:val="single"/>
      </w:tblBorders>
    </w:tblPr>
    <w:tblStylePr w:type="firstRow">
      <w:rPr>
        <w:b/>
        <w:bC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</w:rPr>
      <w:tblPr/>
      <w:tcPr>
        <w:tcBorders>
          <w:top w:color="7F7F7F" w:space="0" w:sz="4" w:themeColor="text1" w:themeTint="80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color="7F7F7F" w:space="0" w:sz="4" w:themeColor="text1" w:themeTint="80" w:val="single"/>
          <w:right w:color="7F7F7F" w:space="0" w:sz="4" w:themeColor="text1" w:themeTint="80" w:val="single"/>
        </w:tcBorders>
      </w:tcPr>
    </w:tblStylePr>
    <w:tblStylePr w:type="band2Vert">
      <w:tblPr/>
      <w:tcPr>
        <w:tcBorders>
          <w:left w:color="7F7F7F" w:space="0" w:sz="4" w:themeColor="text1" w:themeTint="80" w:val="single"/>
          <w:right w:color="7F7F7F" w:space="0" w:sz="4" w:themeColor="text1" w:themeTint="80" w:val="single"/>
        </w:tcBorders>
      </w:tcPr>
    </w:tblStylePr>
    <w:tblStylePr w:type="band1Horz">
      <w:tblPr/>
      <w:tcPr>
        <w:tcBorders>
          <w:top w:color="7F7F7F" w:space="0" w:sz="4" w:themeColor="text1" w:themeTint="80" w:val="single"/>
          <w:bottom w:color="7F7F7F" w:space="0" w:sz="4" w:themeColor="text1" w:themeTint="80" w:val="single"/>
        </w:tcBorders>
      </w:tcPr>
    </w:tblStylePr>
  </w:style>
  <w:style w:styleId="MenoPendente" w:type="character">
    <w:name w:val="Unresolved Mention"/>
    <w:basedOn w:val="Fontepargpadro"/>
    <w:uiPriority w:val="99"/>
    <w:semiHidden/>
    <w:unhideWhenUsed/>
    <w:rsid w:val="007979B1"/>
    <w:rPr>
      <w:color w:val="605E5C"/>
      <w:shd w:color="auto" w:fill="E1DFDD" w:val="clear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21" Type="http://schemas.openxmlformats.org/officeDocument/2006/relationships/numbering" Target="numbering.xml"/><Relationship Id="rId20" Type="http://schemas.openxmlformats.org/officeDocument/2006/relationships/styles" Target="styles.xml"/><Relationship Id="rId19" Type="http://schemas.openxmlformats.org/officeDocument/2006/relationships/settings" Target="settings.xml"/><Relationship Id="rId18" Type="http://schemas.openxmlformats.org/officeDocument/2006/relationships/webSettings" Target="webSettings.xml"/><Relationship Id="rId17" Type="http://schemas.openxmlformats.org/officeDocument/2006/relationships/fontTable" Target="fontTable.xml"/><Relationship Id="rId16" Type="http://schemas.openxmlformats.org/officeDocument/2006/relationships/theme" Target="theme/theme1.xml"/><Relationship Id="rId15" Type="http://schemas.openxmlformats.org/officeDocument/2006/relationships/footnotes" Target="footnotes.xml"/><Relationship Id="rId14" Type="http://schemas.openxmlformats.org/officeDocument/2006/relationships/comments" Target="comments.xml"/><Relationship Id="rId13" Type="http://schemas.openxmlformats.org/officeDocument/2006/relationships/footer" Target="footer2.xml"/><Relationship Id="rId12" Type="http://schemas.openxmlformats.org/officeDocument/2006/relationships/footer" Target="footer1.xml"/><Relationship Id="rId11" Type="http://schemas.openxmlformats.org/officeDocument/2006/relationships/header" Target="header1.xml"/><Relationship Id="rId72" Type="http://schemas.openxmlformats.org/officeDocument/2006/relationships/image" Target="media/rId72.png"/><Relationship Id="rId54" Type="http://schemas.openxmlformats.org/officeDocument/2006/relationships/image" Target="media/rId54.png"/><Relationship Id="rId60" Type="http://schemas.openxmlformats.org/officeDocument/2006/relationships/image" Target="media/rId60.png"/><Relationship Id="rId67" Type="http://schemas.openxmlformats.org/officeDocument/2006/relationships/image" Target="media/rId67.png"/><Relationship Id="rId81" Type="http://schemas.openxmlformats.org/officeDocument/2006/relationships/image" Target="media/rId81.png"/><Relationship Id="rId34" Type="http://schemas.openxmlformats.org/officeDocument/2006/relationships/image" Target="media/rId34.png"/><Relationship Id="rId44" Type="http://schemas.openxmlformats.org/officeDocument/2006/relationships/image" Target="media/rId44.png"/><Relationship Id="rId48" Type="http://schemas.openxmlformats.org/officeDocument/2006/relationships/image" Target="media/rId48.png"/><Relationship Id="rId1" Type="http://schemas.openxmlformats.org/officeDocument/2006/relationships/header" Target="header2.xml"/><Relationship Id="rId2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1378</Words>
  <Characters>8678</Characters>
  <Application>Microsoft Office Word</Application>
  <DocSecurity>0</DocSecurity>
  <Lines>180</Lines>
  <Paragraphs>44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10012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2026-09-24T01:38:15Z</dcterms:created>
  <dcterms:modified xsi:type="dcterms:W3CDTF">2026-09-24T01:38:15Z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C:\Users\user\Documents\ProjetoRacismoPNAD\relatorio_tcc.bib</vt:lpwstr>
  </property>
  <property fmtid="{D5CDD505-2E9C-101B-9397-08002B2CF9AE}" pid="3" name="csl">
    <vt:lpwstr>C:\Users\user\Documents\ProjetoRacismoPNAD\tcc\scripts\abnt.csl</vt:lpwstr>
  </property>
</Properties>
</file>