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80"/>
        <w:jc w:val="center"/>
      </w:pPr>
      <w:r>
        <w:rPr>
          <w:rFonts w:ascii="Calibri" w:hAnsi="Calibri"/>
          <w:b/>
          <w:i w:val="0"/>
          <w:color w:val="1F3864"/>
          <w:sz w:val="44"/>
        </w:rPr>
        <w:t>GUIA DE ESTUDO PARA A DEFESA</w:t>
      </w:r>
    </w:p>
    <w:p>
      <w:pPr>
        <w:spacing w:before="0" w:after="40"/>
        <w:jc w:val="center"/>
      </w:pPr>
      <w:r>
        <w:rPr>
          <w:rFonts w:ascii="Calibri" w:hAnsi="Calibri"/>
          <w:b w:val="0"/>
          <w:i w:val="0"/>
          <w:color w:val="616161"/>
          <w:sz w:val="26"/>
        </w:rPr>
        <w:t>Racismo estrutural no mercado de trabalho brasileiro</w:t>
      </w:r>
    </w:p>
    <w:p>
      <w:pPr>
        <w:spacing w:before="0" w:after="480"/>
        <w:jc w:val="center"/>
      </w:pPr>
      <w:r>
        <w:rPr>
          <w:rFonts w:ascii="Calibri" w:hAnsi="Calibri"/>
          <w:b w:val="0"/>
          <w:i/>
          <w:color w:val="616161"/>
          <w:sz w:val="22"/>
        </w:rPr>
        <w:t>Uma abordagem multinível e de decomposição salarial — PNAD Contínua 2016–2025</w:t>
      </w:r>
    </w:p>
    <w:p>
      <w:pPr>
        <w:spacing w:before="0" w:after="600"/>
        <w:jc w:val="center"/>
      </w:pPr>
      <w:r>
        <w:rPr>
          <w:rFonts w:ascii="Calibri" w:hAnsi="Calibri"/>
          <w:b w:val="0"/>
          <w:i w:val="0"/>
          <w:sz w:val="22"/>
        </w:rPr>
        <w:t>Ricardo Calheiros · MBA em Data Science e Analytics · ESALQ/USP</w:t>
      </w:r>
    </w:p>
    <w:p>
      <w:pPr>
        <w:spacing w:before="160" w:after="40"/>
      </w:pPr>
      <w:r>
        <w:rPr>
          <w:rFonts w:ascii="Calibri" w:hAnsi="Calibri"/>
          <w:b/>
          <w:i w:val="0"/>
          <w:color w:val="1F3864"/>
          <w:sz w:val="22"/>
        </w:rPr>
        <w:t>▌ Como usar este guia</w:t>
      </w:r>
    </w:p>
    <w:p>
      <w:pPr>
        <w:spacing w:after="40"/>
        <w:ind w:left="454"/>
        <w:jc w:val="both"/>
      </w:pPr>
      <w:r>
        <w:rPr>
          <w:rFonts w:ascii="Calibri" w:hAnsi="Calibri"/>
          <w:b w:val="0"/>
          <w:i w:val="0"/>
          <w:sz w:val="21"/>
        </w:rPr>
        <w:t>Parte 1 — o que dizer nos três primeiros minutos, com os números de cor.</w:t>
      </w:r>
    </w:p>
    <w:p>
      <w:pPr>
        <w:spacing w:after="40"/>
        <w:ind w:left="454"/>
        <w:jc w:val="both"/>
      </w:pPr>
      <w:r>
        <w:rPr>
          <w:rFonts w:ascii="Calibri" w:hAnsi="Calibri"/>
          <w:b w:val="0"/>
          <w:i w:val="0"/>
          <w:sz w:val="21"/>
        </w:rPr>
        <w:t>Parte 2 — leituras prioritárias: o que a banca costuma cobrar de cada obra.</w:t>
      </w:r>
    </w:p>
    <w:p>
      <w:pPr>
        <w:spacing w:after="40"/>
        <w:ind w:left="454"/>
        <w:jc w:val="both"/>
      </w:pPr>
      <w:r>
        <w:rPr>
          <w:rFonts w:ascii="Calibri" w:hAnsi="Calibri"/>
          <w:b w:val="0"/>
          <w:i w:val="0"/>
          <w:sz w:val="21"/>
        </w:rPr>
        <w:t>Parte 3 — os quatro métodos do núcleo: o que cada um responde e como ler a saída.</w:t>
      </w:r>
    </w:p>
    <w:p>
      <w:pPr>
        <w:spacing w:after="40"/>
        <w:ind w:left="454"/>
        <w:jc w:val="both"/>
      </w:pPr>
      <w:r>
        <w:rPr>
          <w:rFonts w:ascii="Calibri" w:hAnsi="Calibri"/>
          <w:b w:val="0"/>
          <w:i w:val="0"/>
          <w:sz w:val="21"/>
        </w:rPr>
        <w:t>Parte 4 — a robustez, que é o que separa um resultado de um achado.</w:t>
      </w:r>
    </w:p>
    <w:p>
      <w:pPr>
        <w:spacing w:after="40"/>
        <w:ind w:left="454"/>
        <w:jc w:val="both"/>
      </w:pPr>
      <w:r>
        <w:rPr>
          <w:rFonts w:ascii="Calibri" w:hAnsi="Calibri"/>
          <w:b w:val="0"/>
          <w:i w:val="0"/>
          <w:sz w:val="21"/>
        </w:rPr>
        <w:t>Parte 5 — equações para memorizar.</w:t>
      </w:r>
    </w:p>
    <w:p>
      <w:pPr>
        <w:spacing w:after="40"/>
        <w:ind w:left="454"/>
        <w:jc w:val="both"/>
      </w:pPr>
      <w:r>
        <w:rPr>
          <w:rFonts w:ascii="Calibri" w:hAnsi="Calibri"/>
          <w:b w:val="0"/>
          <w:i w:val="0"/>
          <w:sz w:val="21"/>
        </w:rPr>
        <w:t>Parte 6 — as perguntas difíceis, com a resposta já formulada.</w:t>
      </w:r>
    </w:p>
    <w:p>
      <w:pPr>
        <w:spacing w:after="40"/>
        <w:ind w:left="454"/>
        <w:jc w:val="both"/>
      </w:pPr>
      <w:r>
        <w:rPr>
          <w:rFonts w:ascii="Calibri" w:hAnsi="Calibri"/>
          <w:b w:val="0"/>
          <w:i w:val="0"/>
          <w:sz w:val="21"/>
        </w:rPr>
        <w:t>Todos os números deste guia são lidos dos csv de outputs/tables/ na geração: se uma análise for reexecutada, basta rodar o gerador de novo.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F3864"/>
        </w:rPr>
        <w:t>PARTE 1 — A DEFESA EM TRÊS MINUTOS</w:t>
      </w:r>
    </w:p>
    <w:p>
      <w:pPr>
        <w:spacing w:before="0" w:after="120"/>
        <w:jc w:val="both"/>
      </w:pPr>
      <w:r>
        <w:rPr>
          <w:rFonts w:ascii="Calibri" w:hAnsi="Calibri"/>
          <w:b w:val="0"/>
          <w:i/>
          <w:color w:val="616161"/>
          <w:sz w:val="22"/>
        </w:rPr>
        <w:t>Decore esta sequência. Ela responde, nesta ordem, às quatro perguntas que toda banca faz: o que você mediu, por que isso não é óbvio, como sabe que é verdade e o que muda se for.</w:t>
      </w:r>
    </w:p>
    <w:p>
      <w:pPr>
        <w:spacing w:before="160" w:after="40"/>
      </w:pPr>
      <w:r>
        <w:rPr>
          <w:rFonts w:ascii="Calibri" w:hAnsi="Calibri"/>
          <w:b/>
          <w:i w:val="0"/>
          <w:color w:val="B71C1C"/>
          <w:sz w:val="22"/>
        </w:rPr>
        <w:t>▌ A frase-síntese (se só houver tempo para uma)</w:t>
      </w:r>
    </w:p>
    <w:p>
      <w:pPr>
        <w:spacing w:after="40"/>
        <w:ind w:left="454"/>
        <w:jc w:val="both"/>
      </w:pPr>
      <w:r>
        <w:rPr>
          <w:rFonts w:ascii="Calibri" w:hAnsi="Calibri"/>
          <w:b w:val="0"/>
          <w:i w:val="0"/>
          <w:sz w:val="21"/>
        </w:rPr>
        <w:t>“Com a mesma escolaridade, idade, sexo e bairro, um trabalhador negro ganha 6,1% a menos e tem chances 19% menores de chegar a um cargo qualificado. O diploma quase iguala o salário, mas não abre a porta.”</w:t>
      </w:r>
    </w:p>
    <w:p>
      <w:pPr>
        <w:pStyle w:val="Heading2"/>
      </w:pPr>
      <w:r>
        <w:rPr>
          <w:rFonts w:ascii="Calibri" w:hAnsi="Calibri"/>
          <w:color w:val="1F3864"/>
        </w:rPr>
        <w:t>1.1  O contexto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sz w:val="22"/>
        </w:rPr>
        <w:t xml:space="preserve">Entre 2016 e 2025, um trabalhador negro ganhou em média </w:t>
      </w:r>
      <w:r>
        <w:rPr>
          <w:rFonts w:ascii="Calibri" w:hAnsi="Calibri"/>
          <w:b/>
          <w:i w:val="0"/>
          <w:sz w:val="22"/>
        </w:rPr>
        <w:t>10,5% a menos</w:t>
      </w:r>
      <w:r>
        <w:rPr>
          <w:rFonts w:ascii="Calibri" w:hAnsi="Calibri"/>
          <w:b w:val="0"/>
          <w:i w:val="0"/>
          <w:sz w:val="22"/>
        </w:rPr>
        <w:t xml:space="preserve"> que um branco com a mesma escolaridade, idade e sexo. Esse é o gap agregado, estimado por OLS com efeitos fixos de estado — o ponto de partida.</w:t>
      </w:r>
    </w:p>
    <w:p>
      <w:pPr>
        <w:pStyle w:val="Heading2"/>
      </w:pPr>
      <w:r>
        <w:rPr>
          <w:rFonts w:ascii="Calibri" w:hAnsi="Calibri"/>
          <w:color w:val="1F3864"/>
        </w:rPr>
        <w:t>1.2  O desequilíbrio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sz w:val="22"/>
        </w:rPr>
        <w:t xml:space="preserve">O gap não é uma coisa só. Comparando apenas pessoas </w:t>
      </w:r>
      <w:r>
        <w:rPr>
          <w:rFonts w:ascii="Calibri" w:hAnsi="Calibri"/>
          <w:b/>
          <w:i w:val="0"/>
          <w:sz w:val="22"/>
        </w:rPr>
        <w:t>do mesmo bairro</w:t>
      </w:r>
      <w:r>
        <w:rPr>
          <w:rFonts w:ascii="Calibri" w:hAnsi="Calibri"/>
          <w:b w:val="0"/>
          <w:i w:val="0"/>
          <w:sz w:val="22"/>
        </w:rPr>
        <w:t xml:space="preserve">, ele encolhe: 39,5% do gap agregado é mediado pela segregação residencial, e sobra um </w:t>
      </w:r>
      <w:r>
        <w:rPr>
          <w:rFonts w:ascii="Calibri" w:hAnsi="Calibri"/>
          <w:b/>
          <w:i w:val="0"/>
          <w:sz w:val="22"/>
        </w:rPr>
        <w:t>gap líquido de 6,1%</w:t>
      </w:r>
      <w:r>
        <w:rPr>
          <w:rFonts w:ascii="Calibri" w:hAnsi="Calibri"/>
          <w:b w:val="0"/>
          <w:i w:val="0"/>
          <w:sz w:val="22"/>
        </w:rPr>
        <w:t>. Dentro da mesma ocupação ainda persistem 5,6% — e a ocupação é ela própria resultado da barreira de acesso.</w:t>
      </w:r>
    </w:p>
    <w:p>
      <w:pPr>
        <w:pStyle w:val="Heading2"/>
      </w:pPr>
      <w:r>
        <w:rPr>
          <w:rFonts w:ascii="Calibri" w:hAnsi="Calibri"/>
          <w:color w:val="1F3864"/>
        </w:rPr>
        <w:t>1.3  A evidência</w:t>
      </w:r>
    </w:p>
    <w:p>
      <w:pPr>
        <w:spacing w:before="0" w:after="120"/>
        <w:jc w:val="both"/>
      </w:pPr>
      <w:r>
        <w:rPr>
          <w:rFonts w:ascii="Calibri" w:hAnsi="Calibri"/>
          <w:b w:val="0"/>
          <w:i w:val="0"/>
          <w:sz w:val="22"/>
        </w:rPr>
        <w:t>Quatro métodos independentes sobre a população completa da PNAD Contínua (cerca de 7,7 milhões de observações em 41.454 bairros; o N exato varia com os filtros de cada método):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cantSplit/>
          <w:tblHeader w:val="true"/>
        </w:trPr>
        <w:tc>
          <w:tcPr>
            <w:tcW w:type="dxa" w:w="2268"/>
          </w:tcPr>
          <w:p>
            <w:pPr>
              <w:keepNext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Método</w:t>
            </w:r>
          </w:p>
        </w:tc>
        <w:tc>
          <w:tcPr>
            <w:tcW w:type="dxa" w:w="3118"/>
          </w:tcPr>
          <w:p>
            <w:pPr>
              <w:keepNext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Pergunta que responde</w:t>
            </w:r>
          </w:p>
        </w:tc>
        <w:tc>
          <w:tcPr>
            <w:tcW w:type="dxa" w:w="3969"/>
          </w:tcPr>
          <w:p>
            <w:pPr>
              <w:keepNext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Resultado principal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Next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HLM de dois níveis</w:t>
            </w:r>
          </w:p>
        </w:tc>
        <w:tc>
          <w:tcPr>
            <w:tcW w:type="dxa" w:w="3118"/>
          </w:tcPr>
          <w:p>
            <w:pPr>
              <w:keepNext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Quanto do gap é do bairro?</w:t>
            </w:r>
          </w:p>
        </w:tc>
        <w:tc>
          <w:tcPr>
            <w:tcW w:type="dxa" w:w="3969"/>
          </w:tcPr>
          <w:p>
            <w:pPr>
              <w:keepNext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39,5% mediado pelo bairro; gap líquido 6,1%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Next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Oaxaca–Blinder</w:t>
            </w:r>
          </w:p>
        </w:tc>
        <w:tc>
          <w:tcPr>
            <w:tcW w:type="dxa" w:w="3118"/>
          </w:tcPr>
          <w:p>
            <w:pPr>
              <w:keepNext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É composição ou preço?</w:t>
            </w:r>
          </w:p>
        </w:tc>
        <w:tc>
          <w:tcPr>
            <w:tcW w:type="dxa" w:w="3969"/>
          </w:tcPr>
          <w:p>
            <w:pPr>
              <w:keepNext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17,9% do gap são retornos diferenciais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Next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QR + RIF-OB</w:t>
            </w:r>
          </w:p>
        </w:tc>
        <w:tc>
          <w:tcPr>
            <w:tcW w:type="dxa" w:w="3118"/>
          </w:tcPr>
          <w:p>
            <w:pPr>
              <w:keepNext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Onde na distribuição pesa?</w:t>
            </w:r>
          </w:p>
        </w:tc>
        <w:tc>
          <w:tcPr>
            <w:tcW w:type="dxa" w:w="3969"/>
          </w:tcPr>
          <w:p>
            <w:pPr>
              <w:keepNext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gap condicional cresce (4,3%→8,4%); retornos maiores na base (26,5% no q10)</w:t>
            </w:r>
          </w:p>
        </w:tc>
      </w:tr>
      <w:tr>
        <w:trPr>
          <w:cantSplit/>
        </w:trP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GLMM logístico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 porta é mais estreita?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OR = 0,814 para cargo qualificado; 0,761 no topo 10%</w:t>
            </w:r>
          </w:p>
        </w:tc>
      </w:tr>
    </w:tbl>
    <w:p>
      <w:pPr>
        <w:spacing w:after="40"/>
      </w:pPr>
    </w:p>
    <w:p>
      <w:pPr>
        <w:spacing w:before="0" w:after="200"/>
        <w:jc w:val="both"/>
      </w:pPr>
      <w:r>
        <w:rPr>
          <w:rFonts w:ascii="Calibri" w:hAnsi="Calibri"/>
          <w:b w:val="0"/>
          <w:i w:val="0"/>
          <w:sz w:val="22"/>
        </w:rPr>
        <w:t>Um XGBoost com SHAP confirma, sem impor forma funcional, que a raça mantém contribuição própria: 14ª posição entre 28 preditores.</w:t>
      </w:r>
    </w:p>
    <w:p>
      <w:pPr>
        <w:pStyle w:val="Heading2"/>
      </w:pPr>
      <w:r>
        <w:rPr>
          <w:rFonts w:ascii="Calibri" w:hAnsi="Calibri"/>
          <w:color w:val="1F3864"/>
        </w:rPr>
        <w:t>1.4  O que isso muda</w:t>
      </w:r>
    </w:p>
    <w:p>
      <w:pPr>
        <w:spacing w:before="0" w:after="120"/>
        <w:jc w:val="both"/>
      </w:pPr>
      <w:r>
        <w:rPr>
          <w:rFonts w:ascii="Calibri" w:hAnsi="Calibri"/>
          <w:b w:val="0"/>
          <w:i w:val="0"/>
          <w:sz w:val="22"/>
        </w:rPr>
        <w:t>Se o gargalo fosse escolaridade, bastaria ampliar o acesso ao ensino. Os resultados dizem outra coisa: as mesmas credenciais rendem menos, e há uma barreira própria no acesso à ocupação, que o diploma não desfaz. Política de educação isolada tem retorno marginal decrescente; é preciso agir simultaneamente sobre acesso (Lei 15.142/2025, que substituiu a 12.990/2014), sobre a discriminação salarial (Lei 9.029/1995 e Estatuto da Igualdade Racial) e sobre a segregação residencial.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F3864"/>
        </w:rPr>
        <w:t>PARTE 2 — ROTEIRO DE LEITURAS</w:t>
      </w:r>
    </w:p>
    <w:p>
      <w:pPr>
        <w:pStyle w:val="Heading2"/>
      </w:pPr>
      <w:r>
        <w:rPr>
          <w:rFonts w:ascii="Calibri" w:hAnsi="Calibri"/>
          <w:color w:val="1F3864"/>
        </w:rPr>
        <w:t>2.1  Prioridade máxima — perguntas quase certas</w:t>
      </w:r>
    </w:p>
    <w:p>
      <w:pPr>
        <w:pStyle w:val="ListBullet"/>
        <w:spacing w:after="60"/>
        <w:ind w:left="340"/>
      </w:pPr>
      <w:r>
        <w:rPr>
          <w:rFonts w:ascii="Calibri" w:hAnsi="Calibri"/>
          <w:b/>
          <w:i w:val="0"/>
          <w:sz w:val="22"/>
        </w:rPr>
        <w:t>Angrist &amp; Pischke — Mostly Harmless Econometrics (caps. 2, 3 e 8)</w:t>
      </w:r>
    </w:p>
    <w:p>
      <w:pPr>
        <w:spacing w:before="0" w:after="80"/>
        <w:ind w:left="567"/>
        <w:jc w:val="both"/>
      </w:pPr>
      <w:r>
        <w:rPr>
          <w:rFonts w:ascii="Calibri" w:hAnsi="Calibri"/>
          <w:b w:val="0"/>
          <w:i w:val="0"/>
          <w:sz w:val="21"/>
        </w:rPr>
        <w:t>É de onde vêm as três ressalvas que a banca vai cobrar: bad controls (cap. 3), condicionar no desfecho e o problema de Moulton/erros agrupados (cap. 8). Saiba dizer em uma frase por que M4 é limite inferior e M3 é limite superior.</w:t>
      </w:r>
    </w:p>
    <w:p>
      <w:pPr>
        <w:pStyle w:val="ListBullet"/>
        <w:spacing w:after="60"/>
        <w:ind w:left="340"/>
      </w:pPr>
      <w:r>
        <w:rPr>
          <w:rFonts w:ascii="Calibri" w:hAnsi="Calibri"/>
          <w:b/>
          <w:i w:val="0"/>
          <w:sz w:val="22"/>
        </w:rPr>
        <w:t>Oaxaca (1973) e Blinder (1973)</w:t>
      </w:r>
    </w:p>
    <w:p>
      <w:pPr>
        <w:spacing w:before="0" w:after="80"/>
        <w:ind w:left="567"/>
        <w:jc w:val="both"/>
      </w:pPr>
      <w:r>
        <w:rPr>
          <w:rFonts w:ascii="Calibri" w:hAnsi="Calibri"/>
          <w:b w:val="0"/>
          <w:i w:val="0"/>
          <w:sz w:val="21"/>
        </w:rPr>
        <w:t>A decomposição em dotações e retornos. Saiba que a parcela de retornos não é 'a discriminação medida', e sim o resíduo não explicado pelas variáveis incluídas.</w:t>
      </w:r>
    </w:p>
    <w:p>
      <w:pPr>
        <w:pStyle w:val="ListBullet"/>
        <w:spacing w:after="60"/>
        <w:ind w:left="340"/>
      </w:pPr>
      <w:r>
        <w:rPr>
          <w:rFonts w:ascii="Calibri" w:hAnsi="Calibri"/>
          <w:b/>
          <w:i w:val="0"/>
          <w:sz w:val="22"/>
        </w:rPr>
        <w:t>Raudenbush &amp; Bryk — Hierarchical Linear Models (caps. 2 e 4)</w:t>
      </w:r>
    </w:p>
    <w:p>
      <w:pPr>
        <w:spacing w:before="0" w:after="80"/>
        <w:ind w:left="567"/>
        <w:jc w:val="both"/>
      </w:pPr>
      <w:r>
        <w:rPr>
          <w:rFonts w:ascii="Calibri" w:hAnsi="Calibri"/>
          <w:b w:val="0"/>
          <w:i w:val="0"/>
          <w:sz w:val="21"/>
        </w:rPr>
        <w:t>Modelo nulo, ICC, estratégia step-up e a diferença entre REML e ML. No M0 deste trabalho, ICC = 0,353 — 35% da variância do log-rendimento está entre bairros.</w:t>
      </w:r>
    </w:p>
    <w:p>
      <w:pPr>
        <w:pStyle w:val="ListBullet"/>
        <w:spacing w:after="60"/>
        <w:ind w:left="340"/>
      </w:pPr>
      <w:r>
        <w:rPr>
          <w:rFonts w:ascii="Calibri" w:hAnsi="Calibri"/>
          <w:b/>
          <w:i w:val="0"/>
          <w:sz w:val="22"/>
        </w:rPr>
        <w:t>Firpo, Fortin &amp; Lemieux (2018) — RIF regressions</w:t>
      </w:r>
    </w:p>
    <w:p>
      <w:pPr>
        <w:spacing w:before="0" w:after="80"/>
        <w:ind w:left="567"/>
        <w:jc w:val="both"/>
      </w:pPr>
      <w:r>
        <w:rPr>
          <w:rFonts w:ascii="Calibri" w:hAnsi="Calibri"/>
          <w:b w:val="0"/>
          <w:i w:val="0"/>
          <w:sz w:val="21"/>
        </w:rPr>
        <w:t>Por que os quantis incondicionais respondem a uma pergunta diferente dos condicionais. É a base do parágrafo que concilia teto de vidro e piso pegajoso.</w:t>
      </w:r>
    </w:p>
    <w:p>
      <w:pPr>
        <w:pStyle w:val="ListBullet"/>
        <w:spacing w:after="60"/>
        <w:ind w:left="340"/>
      </w:pPr>
      <w:r>
        <w:rPr>
          <w:rFonts w:ascii="Calibri" w:hAnsi="Calibri"/>
          <w:b/>
          <w:i w:val="0"/>
          <w:sz w:val="22"/>
        </w:rPr>
        <w:t>Hasenbalg (1979) e Soares (2009)</w:t>
      </w:r>
    </w:p>
    <w:p>
      <w:pPr>
        <w:spacing w:before="0" w:after="80"/>
        <w:ind w:left="567"/>
        <w:jc w:val="both"/>
      </w:pPr>
      <w:r>
        <w:rPr>
          <w:rFonts w:ascii="Calibri" w:hAnsi="Calibri"/>
          <w:b w:val="0"/>
          <w:i w:val="0"/>
          <w:sz w:val="21"/>
        </w:rPr>
        <w:t>A literatura nacional com que o resultado dialoga. Saiba dizer o que este trabalho acrescenta: não a existência do gap, e sim a separação dos mecanismos.</w:t>
      </w:r>
    </w:p>
    <w:p>
      <w:pPr>
        <w:pStyle w:val="Heading2"/>
      </w:pPr>
      <w:r>
        <w:rPr>
          <w:rFonts w:ascii="Calibri" w:hAnsi="Calibri"/>
          <w:color w:val="1F3864"/>
        </w:rPr>
        <w:t>2.2  Prioridade média</w:t>
      </w:r>
    </w:p>
    <w:p>
      <w:pPr>
        <w:pStyle w:val="ListBullet"/>
        <w:spacing w:after="60"/>
        <w:ind w:left="340"/>
      </w:pPr>
      <w:r>
        <w:rPr>
          <w:rFonts w:ascii="Calibri" w:hAnsi="Calibri"/>
          <w:b/>
          <w:i w:val="0"/>
          <w:sz w:val="22"/>
        </w:rPr>
        <w:t>Manski (1993) — problema do reflexo</w:t>
      </w:r>
    </w:p>
    <w:p>
      <w:pPr>
        <w:spacing w:before="0" w:after="80"/>
        <w:ind w:left="567"/>
        <w:jc w:val="both"/>
      </w:pPr>
      <w:r>
        <w:rPr>
          <w:rFonts w:ascii="Calibri" w:hAnsi="Calibri"/>
          <w:b w:val="0"/>
          <w:i w:val="0"/>
          <w:sz w:val="21"/>
        </w:rPr>
        <w:t>Por que a renda média do bairro, usada como preditor, é mecanicamente informativa — e o que foi feito (média leave-one-out no ML, variável removida nos modelos de acesso).</w:t>
      </w:r>
    </w:p>
    <w:p>
      <w:pPr>
        <w:pStyle w:val="ListBullet"/>
        <w:spacing w:after="60"/>
        <w:ind w:left="340"/>
      </w:pPr>
      <w:r>
        <w:rPr>
          <w:rFonts w:ascii="Calibri" w:hAnsi="Calibri"/>
          <w:b/>
          <w:i w:val="0"/>
          <w:sz w:val="22"/>
        </w:rPr>
        <w:t>Wilson (1987) e Sampson, Raudenbush &amp; Earls (1997)</w:t>
      </w:r>
    </w:p>
    <w:p>
      <w:pPr>
        <w:spacing w:before="0" w:after="80"/>
        <w:ind w:left="567"/>
        <w:jc w:val="both"/>
      </w:pPr>
      <w:r>
        <w:rPr>
          <w:rFonts w:ascii="Calibri" w:hAnsi="Calibri"/>
          <w:b w:val="0"/>
          <w:i w:val="0"/>
          <w:sz w:val="21"/>
        </w:rPr>
        <w:t>O arcabouço teórico dos efeitos de vizinhança: por que faz sentido pôr a UPA no nível 2.</w:t>
      </w:r>
    </w:p>
    <w:p>
      <w:pPr>
        <w:pStyle w:val="ListBullet"/>
        <w:spacing w:after="60"/>
        <w:ind w:left="340"/>
      </w:pPr>
      <w:r>
        <w:rPr>
          <w:rFonts w:ascii="Calibri" w:hAnsi="Calibri"/>
          <w:b/>
          <w:i w:val="0"/>
          <w:sz w:val="22"/>
        </w:rPr>
        <w:t>VanderWeele &amp; Ding (2017) — E-values</w:t>
      </w:r>
    </w:p>
    <w:p>
      <w:pPr>
        <w:spacing w:before="0" w:after="80"/>
        <w:ind w:left="567"/>
        <w:jc w:val="both"/>
      </w:pPr>
      <w:r>
        <w:rPr>
          <w:rFonts w:ascii="Calibri" w:hAnsi="Calibri"/>
          <w:b w:val="0"/>
          <w:i w:val="0"/>
          <w:sz w:val="21"/>
        </w:rPr>
        <w:t>Quanto de confundimento não observado seria preciso para anular o resultado. Aqui, E-value = 1,5 para a barreira de acesso.</w:t>
      </w:r>
    </w:p>
    <w:p>
      <w:pPr>
        <w:pStyle w:val="ListBullet"/>
        <w:spacing w:after="60"/>
        <w:ind w:left="340"/>
      </w:pPr>
      <w:r>
        <w:rPr>
          <w:rFonts w:ascii="Calibri" w:hAnsi="Calibri"/>
          <w:b/>
          <w:i w:val="0"/>
          <w:sz w:val="22"/>
        </w:rPr>
        <w:t>Crenshaw (1989) — interseccionalidade</w:t>
      </w:r>
    </w:p>
    <w:p>
      <w:pPr>
        <w:spacing w:before="0" w:after="80"/>
        <w:ind w:left="567"/>
        <w:jc w:val="both"/>
      </w:pPr>
      <w:r>
        <w:rPr>
          <w:rFonts w:ascii="Calibri" w:hAnsi="Calibri"/>
          <w:b w:val="0"/>
          <w:i w:val="0"/>
          <w:sz w:val="21"/>
        </w:rPr>
        <w:t>O conceito por trás da decomposição de quatro grupos (raça × gênero).</w:t>
      </w:r>
    </w:p>
    <w:p>
      <w:pPr>
        <w:pStyle w:val="ListBullet"/>
        <w:spacing w:after="60"/>
        <w:ind w:left="340"/>
      </w:pPr>
      <w:r>
        <w:rPr>
          <w:rFonts w:ascii="Calibri" w:hAnsi="Calibri"/>
          <w:b/>
          <w:i w:val="0"/>
          <w:sz w:val="22"/>
        </w:rPr>
        <w:t>Fávero &amp; Belfiore — Manual de Análise de Dados (caps. 12, 14 e 15)</w:t>
      </w:r>
    </w:p>
    <w:p>
      <w:pPr>
        <w:spacing w:before="0" w:after="80"/>
        <w:ind w:left="567"/>
        <w:jc w:val="both"/>
      </w:pPr>
      <w:r>
        <w:rPr>
          <w:rFonts w:ascii="Calibri" w:hAnsi="Calibri"/>
          <w:b w:val="0"/>
          <w:i w:val="0"/>
          <w:sz w:val="21"/>
        </w:rPr>
        <w:t>VIF e multicolinearidade, modelos logísticos (OR, efeitos marginais, sensibilidade/especificidade, curva ROC) e modelos multinível.</w:t>
      </w:r>
    </w:p>
    <w:p>
      <w:pPr>
        <w:pStyle w:val="Heading2"/>
      </w:pPr>
      <w:r>
        <w:rPr>
          <w:rFonts w:ascii="Calibri" w:hAnsi="Calibri"/>
          <w:color w:val="1F3864"/>
        </w:rPr>
        <w:t>2.3  Se sobrar tempo</w:t>
      </w:r>
    </w:p>
    <w:p>
      <w:pPr>
        <w:pStyle w:val="ListBullet"/>
        <w:spacing w:after="60"/>
        <w:ind w:left="340"/>
      </w:pPr>
      <w:r>
        <w:rPr>
          <w:rFonts w:ascii="Calibri" w:hAnsi="Calibri"/>
          <w:b w:val="0"/>
          <w:i w:val="0"/>
          <w:sz w:val="22"/>
        </w:rPr>
        <w:t>Pager (2007) — experimentos de auditoria: a evidência experimental que o resultado observacional é consistente com.</w:t>
      </w:r>
    </w:p>
    <w:p>
      <w:pPr>
        <w:pStyle w:val="ListBullet"/>
        <w:spacing w:after="60"/>
        <w:ind w:left="340"/>
      </w:pPr>
      <w:r>
        <w:rPr>
          <w:rFonts w:ascii="Calibri" w:hAnsi="Calibri"/>
          <w:b w:val="0"/>
          <w:i w:val="0"/>
          <w:sz w:val="22"/>
        </w:rPr>
        <w:t>Koenker &amp; Bassett (1978) — regressão quantílica, o artigo fundador.</w:t>
      </w:r>
    </w:p>
    <w:p>
      <w:pPr>
        <w:pStyle w:val="ListBullet"/>
        <w:spacing w:after="60"/>
        <w:ind w:left="340"/>
      </w:pPr>
      <w:r>
        <w:rPr>
          <w:rFonts w:ascii="Calibri" w:hAnsi="Calibri"/>
          <w:b w:val="0"/>
          <w:i w:val="0"/>
          <w:sz w:val="22"/>
        </w:rPr>
        <w:t>Lundberg &amp; Lee (2017) — SHAP: valores de Shapley aplicados a modelos preditivos.</w:t>
      </w:r>
    </w:p>
    <w:p>
      <w:pPr>
        <w:pStyle w:val="ListBullet"/>
        <w:spacing w:after="60"/>
        <w:ind w:left="340"/>
      </w:pPr>
      <w:r>
        <w:rPr>
          <w:rFonts w:ascii="Calibri" w:hAnsi="Calibri"/>
          <w:b w:val="0"/>
          <w:i w:val="0"/>
          <w:sz w:val="22"/>
        </w:rPr>
        <w:t>Knaflic — Storytelling com Dados: a lógica da apresentação (título de ação, uma ideia por slide, cinza + uma cor de destaque).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F3864"/>
        </w:rPr>
        <w:t>PARTE 3 — OS QUATRO MÉTODOS DO NÚCLEO</w:t>
      </w:r>
    </w:p>
    <w:p>
      <w:pPr>
        <w:spacing w:before="0" w:after="120"/>
        <w:jc w:val="both"/>
      </w:pPr>
      <w:r>
        <w:rPr>
          <w:rFonts w:ascii="Calibri" w:hAnsi="Calibri"/>
          <w:b w:val="0"/>
          <w:i/>
          <w:color w:val="616161"/>
          <w:sz w:val="22"/>
        </w:rPr>
        <w:t>Para cada método: a pergunta que ele responde, como ler a saída e o número que você precisa saber de cor.</w:t>
      </w:r>
    </w:p>
    <w:p>
      <w:pPr>
        <w:pStyle w:val="Heading2"/>
      </w:pPr>
      <w:r>
        <w:rPr>
          <w:rFonts w:ascii="Calibri" w:hAnsi="Calibri"/>
          <w:color w:val="1F3864"/>
        </w:rPr>
        <w:t>3.1  Modelo linear hierárquico (indivíduos em bairros, efeitos fixos de UF)</w:t>
      </w:r>
    </w:p>
    <w:p>
      <w:pPr>
        <w:spacing w:before="160" w:after="40"/>
      </w:pPr>
      <w:r>
        <w:rPr>
          <w:rFonts w:ascii="Calibri" w:hAnsi="Calibri"/>
          <w:b/>
          <w:i w:val="0"/>
          <w:color w:val="1F3864"/>
          <w:sz w:val="22"/>
        </w:rPr>
        <w:t>▌ Pergunta</w:t>
      </w:r>
    </w:p>
    <w:p>
      <w:pPr>
        <w:spacing w:after="40"/>
        <w:ind w:left="454"/>
        <w:jc w:val="both"/>
      </w:pPr>
      <w:r>
        <w:rPr>
          <w:rFonts w:ascii="Calibri" w:hAnsi="Calibri"/>
          <w:b w:val="0"/>
          <w:i w:val="0"/>
          <w:sz w:val="21"/>
        </w:rPr>
        <w:t>Quanto do gap racial desaparece quando se compara negros e brancos que moram no mesmo bairro?</w:t>
      </w:r>
    </w:p>
    <w:p>
      <w:pPr>
        <w:spacing w:before="0" w:after="120"/>
        <w:jc w:val="both"/>
      </w:pPr>
      <w:r>
        <w:rPr>
          <w:rFonts w:ascii="Calibri" w:hAnsi="Calibri"/>
          <w:b w:val="0"/>
          <w:i w:val="0"/>
          <w:sz w:val="22"/>
        </w:rPr>
        <w:t>A estratégia é step-up: parte-se do modelo nulo e acrescenta-se um bloco de controles por vez, observando o que acontece com o coeficiente de raça.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rPr>
          <w:cantSplit/>
          <w:tblHeader w:val="true"/>
        </w:trPr>
        <w:tc>
          <w:tcPr>
            <w:tcW w:type="dxa" w:w="1247"/>
          </w:tcPr>
          <w:p>
            <w:pPr>
              <w:keepNext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Modelo</w:t>
            </w:r>
          </w:p>
        </w:tc>
        <w:tc>
          <w:tcPr>
            <w:tcW w:type="dxa" w:w="3175"/>
          </w:tcPr>
          <w:p>
            <w:pPr>
              <w:keepNext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O que acrescenta</w:t>
            </w:r>
          </w:p>
        </w:tc>
        <w:tc>
          <w:tcPr>
            <w:tcW w:type="dxa" w:w="1474"/>
          </w:tcPr>
          <w:p>
            <w:pPr>
              <w:keepNext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β negro</w:t>
            </w:r>
          </w:p>
        </w:tc>
        <w:tc>
          <w:tcPr>
            <w:tcW w:type="dxa" w:w="1361"/>
          </w:tcPr>
          <w:p>
            <w:pPr>
              <w:keepNext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Gap (%)</w:t>
            </w:r>
          </w:p>
        </w:tc>
        <w:tc>
          <w:tcPr>
            <w:tcW w:type="dxa" w:w="1814"/>
          </w:tcPr>
          <w:p>
            <w:pPr>
              <w:keepNext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Mediação acum.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keepNext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Agregado</w:t>
            </w:r>
          </w:p>
        </w:tc>
        <w:tc>
          <w:tcPr>
            <w:tcW w:type="dxa" w:w="3175"/>
          </w:tcPr>
          <w:p>
            <w:pPr>
              <w:keepNext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individual + UF, sem bairro</w:t>
            </w:r>
          </w:p>
        </w:tc>
        <w:tc>
          <w:tcPr>
            <w:tcW w:type="dxa" w:w="1474"/>
          </w:tcPr>
          <w:p>
            <w:pPr>
              <w:keepNext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−0,1104</w:t>
            </w:r>
          </w:p>
        </w:tc>
        <w:tc>
          <w:tcPr>
            <w:tcW w:type="dxa" w:w="1361"/>
          </w:tcPr>
          <w:p>
            <w:pPr>
              <w:keepNext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−10,5</w:t>
            </w:r>
          </w:p>
        </w:tc>
        <w:tc>
          <w:tcPr>
            <w:tcW w:type="dxa" w:w="1814"/>
          </w:tcPr>
          <w:p>
            <w:pPr>
              <w:keepNext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keepNext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M1</w:t>
            </w:r>
          </w:p>
        </w:tc>
        <w:tc>
          <w:tcPr>
            <w:tcW w:type="dxa" w:w="3175"/>
          </w:tcPr>
          <w:p>
            <w:pPr>
              <w:keepNext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+ intercepto aleatório de UPA</w:t>
            </w:r>
          </w:p>
        </w:tc>
        <w:tc>
          <w:tcPr>
            <w:tcW w:type="dxa" w:w="1474"/>
          </w:tcPr>
          <w:p>
            <w:pPr>
              <w:keepNext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−0,0669</w:t>
            </w:r>
          </w:p>
        </w:tc>
        <w:tc>
          <w:tcPr>
            <w:tcW w:type="dxa" w:w="1361"/>
          </w:tcPr>
          <w:p>
            <w:pPr>
              <w:keepNext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−6,5</w:t>
            </w:r>
          </w:p>
        </w:tc>
        <w:tc>
          <w:tcPr>
            <w:tcW w:type="dxa" w:w="1814"/>
          </w:tcPr>
          <w:p>
            <w:pPr>
              <w:keepNext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39,5%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keepNext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M2</w:t>
            </w:r>
          </w:p>
        </w:tc>
        <w:tc>
          <w:tcPr>
            <w:tcW w:type="dxa" w:w="3175"/>
          </w:tcPr>
          <w:p>
            <w:pPr>
              <w:keepNext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+ contexto do bairro</w:t>
            </w:r>
          </w:p>
        </w:tc>
        <w:tc>
          <w:tcPr>
            <w:tcW w:type="dxa" w:w="1474"/>
          </w:tcPr>
          <w:p>
            <w:pPr>
              <w:keepNext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−0,0637</w:t>
            </w:r>
          </w:p>
        </w:tc>
        <w:tc>
          <w:tcPr>
            <w:tcW w:type="dxa" w:w="1361"/>
          </w:tcPr>
          <w:p>
            <w:pPr>
              <w:keepNext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−6,2</w:t>
            </w:r>
          </w:p>
        </w:tc>
        <w:tc>
          <w:tcPr>
            <w:tcW w:type="dxa" w:w="1814"/>
          </w:tcPr>
          <w:p>
            <w:pPr>
              <w:keepNext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42,3%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keepNext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M3</w:t>
            </w:r>
          </w:p>
        </w:tc>
        <w:tc>
          <w:tcPr>
            <w:tcW w:type="dxa" w:w="3175"/>
          </w:tcPr>
          <w:p>
            <w:pPr>
              <w:keepNext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+ efeitos fixos de UF</w:t>
            </w:r>
          </w:p>
        </w:tc>
        <w:tc>
          <w:tcPr>
            <w:tcW w:type="dxa" w:w="1474"/>
          </w:tcPr>
          <w:p>
            <w:pPr>
              <w:keepNext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−0,0629</w:t>
            </w:r>
          </w:p>
        </w:tc>
        <w:tc>
          <w:tcPr>
            <w:tcW w:type="dxa" w:w="1361"/>
          </w:tcPr>
          <w:p>
            <w:pPr>
              <w:keepNext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−6,1</w:t>
            </w:r>
          </w:p>
        </w:tc>
        <w:tc>
          <w:tcPr>
            <w:tcW w:type="dxa" w:w="1814"/>
          </w:tcPr>
          <w:p>
            <w:pPr>
              <w:keepNext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43,0%</w:t>
            </w:r>
          </w:p>
        </w:tc>
      </w:tr>
      <w:tr>
        <w:trPr>
          <w:cantSplit/>
        </w:trPr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M4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+ ocupação e formalidade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−0,0579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−5,6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47,6%</w:t>
            </w:r>
          </w:p>
        </w:tc>
      </w:tr>
    </w:tbl>
    <w:p>
      <w:pPr>
        <w:spacing w:after="40"/>
      </w:pPr>
    </w:p>
    <w:p>
      <w:pPr>
        <w:pStyle w:val="ListBullet"/>
        <w:spacing w:after="60"/>
        <w:ind w:left="340"/>
      </w:pPr>
      <w:r>
        <w:rPr>
          <w:rFonts w:ascii="Calibri" w:hAnsi="Calibri"/>
          <w:b w:val="0"/>
          <w:i w:val="0"/>
          <w:sz w:val="22"/>
        </w:rPr>
        <w:t>Modelo nulo: τ² = 0,3018, σ² = 0,5524 → ICC = 0,353. Traduza: 35% da variância do log-rendimento está entre bairros, não entre pessoas — é o que justifica o multinível.</w:t>
      </w:r>
    </w:p>
    <w:p>
      <w:pPr>
        <w:pStyle w:val="ListBullet"/>
        <w:spacing w:after="60"/>
        <w:ind w:left="340"/>
      </w:pPr>
      <w:r>
        <w:rPr>
          <w:rFonts w:ascii="Calibri" w:hAnsi="Calibri"/>
          <w:b w:val="0"/>
          <w:i w:val="0"/>
          <w:sz w:val="22"/>
        </w:rPr>
        <w:t>Efeito contextual (M2): γ₀₁ = −0,1272 (EP 0,0013) por desvio-padrão da proporção de negros na UPA. Atenção: o regressor é padronizado — não diga “por ponto percentual”.</w:t>
      </w:r>
    </w:p>
    <w:p>
      <w:pPr>
        <w:pStyle w:val="ListBullet"/>
        <w:spacing w:after="60"/>
        <w:ind w:left="340"/>
      </w:pPr>
      <w:r>
        <w:rPr>
          <w:rFonts w:ascii="Calibri" w:hAnsi="Calibri"/>
          <w:b w:val="0"/>
          <w:i w:val="0"/>
          <w:sz w:val="22"/>
        </w:rPr>
        <w:t>Inclinação aleatória (M3_RS): desvio-padrão da inclinação de raça entre bairros = 0,145; LR contra o M3 = 26.267. A penalidade varia entre bairros, e a covariância negativa (−0,0157) diz que ela é maior justamente nos bairros de renda mais alta.</w:t>
      </w:r>
    </w:p>
    <w:p>
      <w:pPr>
        <w:pStyle w:val="ListBullet"/>
        <w:spacing w:after="60"/>
        <w:ind w:left="340"/>
      </w:pPr>
      <w:r>
        <w:rPr>
          <w:rFonts w:ascii="Calibri" w:hAnsi="Calibri"/>
          <w:b w:val="0"/>
          <w:i w:val="0"/>
          <w:sz w:val="22"/>
        </w:rPr>
        <w:t>REML vs ML: τ² = 0,30182 por ML e 0,30182 por REML. Com N desse tamanho a escolha é indiferente; usa-se ML porque é o que permite comparar efeitos fixos entre degraus.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2026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hlm_g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02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Calibri" w:hAnsi="Calibri"/>
          <w:b w:val="0"/>
          <w:i/>
          <w:color w:val="616161"/>
          <w:sz w:val="19"/>
        </w:rPr>
        <w:t>Comparar vizinhos reduz o gap em cerca de 40% — e o que sobra não é explicado por escolaridade, estado nem ocupação.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3700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lm_efeitos_uf_blup_up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3700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Calibri" w:hAnsi="Calibri"/>
          <w:b w:val="0"/>
          <w:i/>
          <w:color w:val="616161"/>
          <w:sz w:val="19"/>
        </w:rPr>
        <w:t>A variação entre bairros supera a variação entre estados: efeitos fixos de UF (à esquerda) e BLUPs de UPA (à direita).</w:t>
      </w:r>
    </w:p>
    <w:p>
      <w:pPr>
        <w:pStyle w:val="Heading2"/>
      </w:pPr>
      <w:r>
        <w:rPr>
          <w:rFonts w:ascii="Calibri" w:hAnsi="Calibri"/>
          <w:color w:val="1F3864"/>
        </w:rPr>
        <w:t>3.2  Decomposição de Oaxaca–Blinder</w:t>
      </w:r>
    </w:p>
    <w:p>
      <w:pPr>
        <w:spacing w:before="160" w:after="40"/>
      </w:pPr>
      <w:r>
        <w:rPr>
          <w:rFonts w:ascii="Calibri" w:hAnsi="Calibri"/>
          <w:b/>
          <w:i w:val="0"/>
          <w:color w:val="1F3864"/>
          <w:sz w:val="22"/>
        </w:rPr>
        <w:t>▌ Pergunta</w:t>
      </w:r>
    </w:p>
    <w:p>
      <w:pPr>
        <w:spacing w:after="40"/>
        <w:ind w:left="454"/>
        <w:jc w:val="both"/>
      </w:pPr>
      <w:r>
        <w:rPr>
          <w:rFonts w:ascii="Calibri" w:hAnsi="Calibri"/>
          <w:b w:val="0"/>
          <w:i w:val="0"/>
          <w:sz w:val="21"/>
        </w:rPr>
        <w:t>Do gap observado, quanto vem de os dois grupos terem características diferentes (dotações) e quanto de as mesmas características serem pagas de forma diferente (retornos)?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rPr>
          <w:cantSplit/>
          <w:tblHeader w:val="true"/>
        </w:trPr>
        <w:tc>
          <w:tcPr>
            <w:tcW w:type="dxa" w:w="3061"/>
          </w:tcPr>
          <w:p>
            <w:pPr>
              <w:keepNext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Especificação</w:t>
            </w:r>
          </w:p>
        </w:tc>
        <w:tc>
          <w:tcPr>
            <w:tcW w:type="dxa" w:w="1361"/>
          </w:tcPr>
          <w:p>
            <w:pPr>
              <w:keepNext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Gap total</w:t>
            </w:r>
          </w:p>
        </w:tc>
        <w:tc>
          <w:tcPr>
            <w:tcW w:type="dxa" w:w="1361"/>
          </w:tcPr>
          <w:p>
            <w:pPr>
              <w:keepNext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Dotações</w:t>
            </w:r>
          </w:p>
        </w:tc>
        <w:tc>
          <w:tcPr>
            <w:tcW w:type="dxa" w:w="1361"/>
          </w:tcPr>
          <w:p>
            <w:pPr>
              <w:keepNext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Retornos</w:t>
            </w:r>
          </w:p>
        </w:tc>
        <w:tc>
          <w:tcPr>
            <w:tcW w:type="dxa" w:w="1928"/>
          </w:tcPr>
          <w:p>
            <w:pPr>
              <w:keepNext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Como nomear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keepNext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(A) Capital humano + contexto</w:t>
            </w:r>
          </w:p>
        </w:tc>
        <w:tc>
          <w:tcPr>
            <w:tcW w:type="dxa" w:w="1361"/>
          </w:tcPr>
          <w:p>
            <w:pPr>
              <w:keepNext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53,0%</w:t>
            </w:r>
          </w:p>
        </w:tc>
        <w:tc>
          <w:tcPr>
            <w:tcW w:type="dxa" w:w="1361"/>
          </w:tcPr>
          <w:p>
            <w:pPr>
              <w:keepNext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82,1%</w:t>
            </w:r>
          </w:p>
        </w:tc>
        <w:tc>
          <w:tcPr>
            <w:tcW w:type="dxa" w:w="1361"/>
          </w:tcPr>
          <w:p>
            <w:pPr>
              <w:keepNext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17,9%</w:t>
            </w:r>
          </w:p>
        </w:tc>
        <w:tc>
          <w:tcPr>
            <w:tcW w:type="dxa" w:w="1928"/>
          </w:tcPr>
          <w:p>
            <w:pPr>
              <w:keepNext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comparável à literatura</w:t>
            </w:r>
          </w:p>
        </w:tc>
      </w:tr>
      <w:tr>
        <w:trPr>
          <w:cantSplit/>
        </w:trPr>
        <w:tc>
          <w:tcPr>
            <w:tcW w:type="dxa" w:w="306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(B) + ocupação e formalidade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53,0%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84,6%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15,4%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limite inferior descritivo</w:t>
            </w:r>
          </w:p>
        </w:tc>
      </w:tr>
    </w:tbl>
    <w:p>
      <w:pPr>
        <w:spacing w:after="40"/>
      </w:pPr>
    </w:p>
    <w:p>
      <w:pPr>
        <w:pStyle w:val="ListBullet"/>
        <w:spacing w:after="60"/>
        <w:ind w:left="340"/>
      </w:pPr>
      <w:r>
        <w:rPr>
          <w:rFonts w:ascii="Calibri" w:hAnsi="Calibri"/>
          <w:b w:val="0"/>
          <w:i w:val="0"/>
          <w:sz w:val="22"/>
        </w:rPr>
        <w:t>Erros-padrão por bootstrap em blocos de UPA (500 réplicas), N = 7.699.278 em 41.459 UPAs.</w:t>
      </w:r>
    </w:p>
    <w:p>
      <w:pPr>
        <w:pStyle w:val="ListBullet"/>
        <w:spacing w:after="60"/>
        <w:ind w:left="340"/>
      </w:pPr>
      <w:r>
        <w:rPr>
          <w:rFonts w:ascii="Calibri" w:hAnsi="Calibri"/>
          <w:b w:val="0"/>
          <w:i w:val="0"/>
          <w:sz w:val="22"/>
        </w:rPr>
        <w:t>A frase que evita a pergunta capciosa: “a parcela de retornos não é a discriminação medida; é o que as variáveis incluídas não explicam. Ela é um limite superior do efeito de tratamento diferencial e um limite inferior do racismo estrutural, que também opera pelas dotações.”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74905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ob_cascat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749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Calibri" w:hAnsi="Calibri"/>
          <w:b w:val="0"/>
          <w:i/>
          <w:color w:val="616161"/>
          <w:sz w:val="19"/>
        </w:rPr>
        <w:t>Tratar a ocupação como “característica” reduz a discriminação medida de 17,9% para 15,4% do gap — por isso as duas especificações são reportadas lado a lado.</w:t>
      </w:r>
    </w:p>
    <w:p>
      <w:pPr>
        <w:pStyle w:val="Heading2"/>
      </w:pPr>
      <w:r>
        <w:rPr>
          <w:rFonts w:ascii="Calibri" w:hAnsi="Calibri"/>
          <w:color w:val="1F3864"/>
        </w:rPr>
        <w:t>3.3  Regressão quantílica e RIF-OB</w:t>
      </w:r>
    </w:p>
    <w:p>
      <w:pPr>
        <w:spacing w:before="160" w:after="40"/>
      </w:pPr>
      <w:r>
        <w:rPr>
          <w:rFonts w:ascii="Calibri" w:hAnsi="Calibri"/>
          <w:b/>
          <w:i w:val="0"/>
          <w:color w:val="1F3864"/>
          <w:sz w:val="22"/>
        </w:rPr>
        <w:t>▌ Pergunta</w:t>
      </w:r>
    </w:p>
    <w:p>
      <w:pPr>
        <w:spacing w:after="40"/>
        <w:ind w:left="454"/>
        <w:jc w:val="both"/>
      </w:pPr>
      <w:r>
        <w:rPr>
          <w:rFonts w:ascii="Calibri" w:hAnsi="Calibri"/>
          <w:b w:val="0"/>
          <w:i w:val="0"/>
          <w:sz w:val="21"/>
        </w:rPr>
        <w:t>A penalidade racial é a mesma em toda a distribuição de renda, ou pesa mais no topo (teto de vidro) ou na base (piso pegajoso)?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cantSplit/>
          <w:tblHeader w:val="true"/>
        </w:trPr>
        <w:tc>
          <w:tcPr>
            <w:tcW w:type="dxa" w:w="1701"/>
          </w:tcPr>
          <w:p>
            <w:pPr>
              <w:keepNext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Quantil</w:t>
            </w:r>
          </w:p>
        </w:tc>
        <w:tc>
          <w:tcPr>
            <w:tcW w:type="dxa" w:w="3118"/>
          </w:tcPr>
          <w:p>
            <w:pPr>
              <w:keepNext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Gap condicional (QR)</w:t>
            </w:r>
          </w:p>
        </w:tc>
        <w:tc>
          <w:tcPr>
            <w:tcW w:type="dxa" w:w="3402"/>
          </w:tcPr>
          <w:p>
            <w:pPr>
              <w:keepNext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Retornos (RIF, incondicional)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q10</w:t>
            </w:r>
          </w:p>
        </w:tc>
        <w:tc>
          <w:tcPr>
            <w:tcW w:type="dxa" w:w="3118"/>
          </w:tcPr>
          <w:p>
            <w:pPr>
              <w:keepNext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−4,3%</w:t>
            </w:r>
          </w:p>
        </w:tc>
        <w:tc>
          <w:tcPr>
            <w:tcW w:type="dxa" w:w="3402"/>
          </w:tcPr>
          <w:p>
            <w:pPr>
              <w:keepNext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26,5%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q25</w:t>
            </w:r>
          </w:p>
        </w:tc>
        <w:tc>
          <w:tcPr>
            <w:tcW w:type="dxa" w:w="3118"/>
          </w:tcPr>
          <w:p>
            <w:pPr>
              <w:keepNext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−4,3%</w:t>
            </w:r>
          </w:p>
        </w:tc>
        <w:tc>
          <w:tcPr>
            <w:tcW w:type="dxa" w:w="3402"/>
          </w:tcPr>
          <w:p>
            <w:pPr>
              <w:keepNext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22,3%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q50</w:t>
            </w:r>
          </w:p>
        </w:tc>
        <w:tc>
          <w:tcPr>
            <w:tcW w:type="dxa" w:w="3118"/>
          </w:tcPr>
          <w:p>
            <w:pPr>
              <w:keepNext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−4,9%</w:t>
            </w:r>
          </w:p>
        </w:tc>
        <w:tc>
          <w:tcPr>
            <w:tcW w:type="dxa" w:w="3402"/>
          </w:tcPr>
          <w:p>
            <w:pPr>
              <w:keepNext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20,6%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q75</w:t>
            </w:r>
          </w:p>
        </w:tc>
        <w:tc>
          <w:tcPr>
            <w:tcW w:type="dxa" w:w="3118"/>
          </w:tcPr>
          <w:p>
            <w:pPr>
              <w:keepNext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−6,5%</w:t>
            </w:r>
          </w:p>
        </w:tc>
        <w:tc>
          <w:tcPr>
            <w:tcW w:type="dxa" w:w="3402"/>
          </w:tcPr>
          <w:p>
            <w:pPr>
              <w:keepNext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16,9%</w:t>
            </w:r>
          </w:p>
        </w:tc>
      </w:tr>
      <w:tr>
        <w:trPr>
          <w:cantSplit/>
        </w:trPr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q90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−8,4%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8,9%</w:t>
            </w:r>
          </w:p>
        </w:tc>
      </w:tr>
    </w:tbl>
    <w:p>
      <w:pPr>
        <w:spacing w:after="40"/>
      </w:pPr>
    </w:p>
    <w:p>
      <w:pPr>
        <w:pStyle w:val="ListBullet"/>
        <w:spacing w:after="60"/>
        <w:ind w:left="340"/>
      </w:pPr>
      <w:r>
        <w:rPr>
          <w:rFonts w:ascii="Calibri" w:hAnsi="Calibri"/>
          <w:b w:val="0"/>
          <w:i w:val="0"/>
          <w:sz w:val="22"/>
        </w:rPr>
        <w:t>Teste de heterogeneidade: diferença q90 − q10 = −0,0439, Z = −25,87, p &lt; 0,001. O erro-padrão vem de bootstrap m-out-of-n em blocos de UPA (1.243 de 41.459 UPAs por réplica, com reescala √(m/G)).</w:t>
      </w:r>
    </w:p>
    <w:p>
      <w:pPr>
        <w:spacing w:before="160" w:after="40"/>
      </w:pPr>
      <w:r>
        <w:rPr>
          <w:rFonts w:ascii="Calibri" w:hAnsi="Calibri"/>
          <w:b/>
          <w:i w:val="0"/>
          <w:color w:val="1F3864"/>
          <w:sz w:val="22"/>
        </w:rPr>
        <w:t>▌ A pergunta que a banca vai fazer: “os dois padrões não se contradizem?”</w:t>
      </w:r>
    </w:p>
    <w:p>
      <w:pPr>
        <w:spacing w:after="40"/>
        <w:ind w:left="454"/>
        <w:jc w:val="both"/>
      </w:pPr>
      <w:r>
        <w:rPr>
          <w:rFonts w:ascii="Calibri" w:hAnsi="Calibri"/>
          <w:b w:val="0"/>
          <w:i w:val="0"/>
          <w:sz w:val="21"/>
        </w:rPr>
        <w:t>Não. A QR estima quantis condicionais: β(τ) compara negros e brancos na mesma posição dentro da distribuição de pessoas com o mesmo perfil observável. O crescimento de |β(τ)| significa que a dispersão condicional é maior entre brancos (fanning out) — não que “os negros do topo sofrem mais”: quantis não seguem indivíduos.</w:t>
      </w:r>
    </w:p>
    <w:p>
      <w:pPr>
        <w:spacing w:after="40"/>
        <w:ind w:left="454"/>
        <w:jc w:val="both"/>
      </w:pPr>
      <w:r>
        <w:rPr>
          <w:rFonts w:ascii="Calibri" w:hAnsi="Calibri"/>
          <w:b w:val="0"/>
          <w:i w:val="0"/>
          <w:sz w:val="21"/>
        </w:rPr>
        <w:t>A RIF-OB decompõe quantis incondicionais da distribuição de renda do país. Como a composição observável concentra negros na base, a parcela de retornos é maior ali. Um resultado é sobre preço; o outro, sobre distribuição.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61620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qr_rif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6162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Calibri" w:hAnsi="Calibri"/>
          <w:b w:val="0"/>
          <w:i/>
          <w:color w:val="616161"/>
          <w:sz w:val="19"/>
        </w:rPr>
        <w:t>Teto de vidro entre pares (QR, condicional) e piso pegajoso na renda do país (RIF, incondicional): duas perguntas, dois padrões.</w:t>
      </w:r>
    </w:p>
    <w:p>
      <w:pPr>
        <w:pStyle w:val="Heading2"/>
      </w:pPr>
      <w:r>
        <w:rPr>
          <w:rFonts w:ascii="Calibri" w:hAnsi="Calibri"/>
          <w:color w:val="1F3864"/>
        </w:rPr>
        <w:t>3.4  GLMM logístico de acesso (lme4::glmer)</w:t>
      </w:r>
    </w:p>
    <w:p>
      <w:pPr>
        <w:spacing w:before="160" w:after="40"/>
      </w:pPr>
      <w:r>
        <w:rPr>
          <w:rFonts w:ascii="Calibri" w:hAnsi="Calibri"/>
          <w:b/>
          <w:i w:val="0"/>
          <w:color w:val="1F3864"/>
          <w:sz w:val="22"/>
        </w:rPr>
        <w:t>▌ Pergunta</w:t>
      </w:r>
    </w:p>
    <w:p>
      <w:pPr>
        <w:spacing w:after="40"/>
        <w:ind w:left="454"/>
        <w:jc w:val="both"/>
      </w:pPr>
      <w:r>
        <w:rPr>
          <w:rFonts w:ascii="Calibri" w:hAnsi="Calibri"/>
          <w:b w:val="0"/>
          <w:i w:val="0"/>
          <w:sz w:val="21"/>
        </w:rPr>
        <w:t>Controlando escolaridade, sexo, idade, estado e contexto do bairro, um trabalhador negro tem a mesma chance de ocupar um cargo qualificado ou de chegar ao topo da renda?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rPr>
          <w:cantSplit/>
          <w:tblHeader w:val="true"/>
        </w:trPr>
        <w:tc>
          <w:tcPr>
            <w:tcW w:type="dxa" w:w="2835"/>
          </w:tcPr>
          <w:p>
            <w:pPr>
              <w:keepNext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Desfecho</w:t>
            </w:r>
          </w:p>
        </w:tc>
        <w:tc>
          <w:tcPr>
            <w:tcW w:type="dxa" w:w="2041"/>
          </w:tcPr>
          <w:p>
            <w:pPr>
              <w:keepNext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OR (IC 95%)</w:t>
            </w:r>
          </w:p>
        </w:tc>
        <w:tc>
          <w:tcPr>
            <w:tcW w:type="dxa" w:w="1247"/>
          </w:tcPr>
          <w:p>
            <w:pPr>
              <w:keepNext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AME (p.p.)</w:t>
            </w:r>
          </w:p>
        </w:tc>
        <w:tc>
          <w:tcPr>
            <w:tcW w:type="dxa" w:w="1020"/>
          </w:tcPr>
          <w:p>
            <w:pPr>
              <w:keepNext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ICC UPA (A2)</w:t>
            </w:r>
          </w:p>
        </w:tc>
        <w:tc>
          <w:tcPr>
            <w:tcW w:type="dxa" w:w="907"/>
          </w:tcPr>
          <w:p>
            <w:pPr>
              <w:keepNext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AUC</w:t>
            </w:r>
          </w:p>
        </w:tc>
        <w:tc>
          <w:tcPr>
            <w:tcW w:type="dxa" w:w="1020"/>
          </w:tcPr>
          <w:p>
            <w:pPr>
              <w:keepNext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E-value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keepNext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Cargo qualificado (CBO 1–4)</w:t>
            </w:r>
          </w:p>
        </w:tc>
        <w:tc>
          <w:tcPr>
            <w:tcW w:type="dxa" w:w="2041"/>
          </w:tcPr>
          <w:p>
            <w:pPr>
              <w:keepNext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0,814 (0,810–0,818)</w:t>
            </w:r>
          </w:p>
        </w:tc>
        <w:tc>
          <w:tcPr>
            <w:tcW w:type="dxa" w:w="1247"/>
          </w:tcPr>
          <w:p>
            <w:pPr>
              <w:keepNext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−2,6</w:t>
            </w:r>
          </w:p>
        </w:tc>
        <w:tc>
          <w:tcPr>
            <w:tcW w:type="dxa" w:w="1020"/>
          </w:tcPr>
          <w:p>
            <w:pPr>
              <w:keepNext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0,054</w:t>
            </w:r>
          </w:p>
        </w:tc>
        <w:tc>
          <w:tcPr>
            <w:tcW w:type="dxa" w:w="907"/>
          </w:tcPr>
          <w:p>
            <w:pPr>
              <w:keepNext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0,878</w:t>
            </w:r>
          </w:p>
        </w:tc>
        <w:tc>
          <w:tcPr>
            <w:tcW w:type="dxa" w:w="1020"/>
          </w:tcPr>
          <w:p>
            <w:pPr>
              <w:keepNext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1,5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keepNext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Topo 20% da renda</w:t>
            </w:r>
          </w:p>
        </w:tc>
        <w:tc>
          <w:tcPr>
            <w:tcW w:type="dxa" w:w="2041"/>
          </w:tcPr>
          <w:p>
            <w:pPr>
              <w:keepNext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0,769</w:t>
            </w:r>
          </w:p>
        </w:tc>
        <w:tc>
          <w:tcPr>
            <w:tcW w:type="dxa" w:w="1247"/>
          </w:tcPr>
          <w:p>
            <w:pPr>
              <w:keepNext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−2,8</w:t>
            </w:r>
          </w:p>
        </w:tc>
        <w:tc>
          <w:tcPr>
            <w:tcW w:type="dxa" w:w="1020"/>
          </w:tcPr>
          <w:p>
            <w:pPr>
              <w:keepNext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0,083</w:t>
            </w:r>
          </w:p>
        </w:tc>
        <w:tc>
          <w:tcPr>
            <w:tcW w:type="dxa" w:w="907"/>
          </w:tcPr>
          <w:p>
            <w:pPr>
              <w:keepNext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0,872</w:t>
            </w:r>
          </w:p>
        </w:tc>
        <w:tc>
          <w:tcPr>
            <w:tcW w:type="dxa" w:w="1020"/>
          </w:tcPr>
          <w:p>
            <w:pPr>
              <w:keepNext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1,5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Topo 10% da renda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0,761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−1,7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0,116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0,900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2,0</w:t>
            </w:r>
          </w:p>
        </w:tc>
      </w:tr>
    </w:tbl>
    <w:p>
      <w:pPr>
        <w:spacing w:after="40"/>
      </w:pPr>
    </w:p>
    <w:p>
      <w:pPr>
        <w:pStyle w:val="ListBullet"/>
        <w:spacing w:after="60"/>
        <w:ind w:left="340"/>
      </w:pPr>
      <w:r>
        <w:rPr>
          <w:rFonts w:ascii="Calibri" w:hAnsi="Calibri"/>
          <w:b w:val="0"/>
          <w:i w:val="0"/>
          <w:sz w:val="22"/>
        </w:rPr>
        <w:t>Leitura em uma frase: a chance de um trabalhador negro ocupar cargo qualificado é 19% menor que a de um branco do mesmo bairro e perfil; no décimo superior da renda, 24% menor. O gradiente (0,814 → 0,769 → 0,761) é o teto de vidro.</w:t>
      </w:r>
    </w:p>
    <w:p>
      <w:pPr>
        <w:pStyle w:val="ListBullet"/>
        <w:spacing w:after="60"/>
        <w:ind w:left="340"/>
      </w:pPr>
      <w:r>
        <w:rPr>
          <w:rFonts w:ascii="Calibri" w:hAnsi="Calibri"/>
          <w:b w:val="0"/>
          <w:i w:val="0"/>
          <w:sz w:val="22"/>
        </w:rPr>
        <w:t>Diga “chance” (odds), não “probabilidade”: por isso o AME está ao lado — 2,6 pontos percentuais de probabilidade.</w:t>
      </w:r>
    </w:p>
    <w:p>
      <w:pPr>
        <w:pStyle w:val="ListBullet"/>
        <w:spacing w:after="60"/>
        <w:ind w:left="340"/>
      </w:pPr>
      <w:r>
        <w:rPr>
          <w:rFonts w:ascii="Calibri" w:hAnsi="Calibri"/>
          <w:b w:val="0"/>
          <w:i w:val="0"/>
          <w:sz w:val="22"/>
        </w:rPr>
        <w:t>Ajuste: AUC = 0,878 com efeito aleatório contra 0,870 só com efeitos fixos; corte de Youden 0,30 (sensibilidade 0,79, especificidade 0,79). O teste LR contra o logit pooled é 77.940 — o efeito aleatório de bairro não é ornamento.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03487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glmm_o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0348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Calibri" w:hAnsi="Calibri"/>
          <w:b w:val="0"/>
          <w:i/>
          <w:color w:val="616161"/>
          <w:sz w:val="19"/>
        </w:rPr>
        <w:t>A porta é mais estreita para trabalhadores negros — e estreita ainda mais no topo da distribuição.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F3864"/>
        </w:rPr>
        <w:t>PARTE 4 — A ROBUSTEZ (É AQUI QUE A DEFESA SE GANHA)</w:t>
      </w:r>
    </w:p>
    <w:p>
      <w:pPr>
        <w:pStyle w:val="Heading2"/>
      </w:pPr>
      <w:r>
        <w:rPr>
          <w:rFonts w:ascii="Calibri" w:hAnsi="Calibri"/>
          <w:color w:val="1F3864"/>
        </w:rPr>
        <w:t>4.1  Konfound e E-values — e se faltar uma variável?</w:t>
      </w:r>
    </w:p>
    <w:p>
      <w:pPr>
        <w:pStyle w:val="ListBullet"/>
        <w:spacing w:after="60"/>
        <w:ind w:left="340"/>
      </w:pPr>
      <w:r>
        <w:rPr>
          <w:rFonts w:ascii="Calibri" w:hAnsi="Calibri"/>
          <w:b w:val="0"/>
          <w:i w:val="0"/>
          <w:sz w:val="22"/>
        </w:rPr>
        <w:t>Konfound (M3): seria preciso que 98,4% da estimativa fosse viés para invalidar a inferência; a correlação parcial exigida do confundidor (ITCV = 0,043) é maior que a de qualquer covariável observada.</w:t>
      </w:r>
    </w:p>
    <w:p>
      <w:pPr>
        <w:pStyle w:val="ListBullet"/>
        <w:spacing w:after="60"/>
        <w:ind w:left="340"/>
      </w:pPr>
      <w:r>
        <w:rPr>
          <w:rFonts w:ascii="Calibri" w:hAnsi="Calibri"/>
          <w:b w:val="0"/>
          <w:i w:val="0"/>
          <w:sz w:val="22"/>
        </w:rPr>
        <w:t>E-value (acesso, A2) = 1,5: um confundidor não medido precisaria estar associado a ser negro e ao acesso com OR de pelo menos 1,5 (com o desfecho comum, a OR vira razão de risco pela raiz quadrada). É modesto — a escolaridade tem efeito muito maior sobre o acesso —; diga que o E-value mostra a escala do viés necessário, não que o descarta.</w:t>
      </w:r>
    </w:p>
    <w:p>
      <w:pPr>
        <w:pStyle w:val="Heading2"/>
      </w:pPr>
      <w:r>
        <w:rPr>
          <w:rFonts w:ascii="Calibri" w:hAnsi="Calibri"/>
          <w:color w:val="1F3864"/>
        </w:rPr>
        <w:t>4.2  Balanceamento e suporte comum</w:t>
      </w:r>
    </w:p>
    <w:p>
      <w:pPr>
        <w:pStyle w:val="ListBullet"/>
        <w:spacing w:after="60"/>
        <w:ind w:left="340"/>
      </w:pPr>
      <w:r>
        <w:rPr>
          <w:rFonts w:ascii="Calibri" w:hAnsi="Calibri"/>
          <w:b w:val="0"/>
          <w:i w:val="0"/>
          <w:sz w:val="22"/>
        </w:rPr>
        <w:t>Das 18 covariáveis comparadas entre brancos e negros, 9 têm d de Cohen abaixo de 0,2 (desequilíbrio pequeno).</w:t>
      </w:r>
    </w:p>
    <w:p>
      <w:pPr>
        <w:pStyle w:val="ListBullet"/>
        <w:spacing w:after="60"/>
        <w:ind w:left="340"/>
      </w:pPr>
      <w:r>
        <w:rPr>
          <w:rFonts w:ascii="Calibri" w:hAnsi="Calibri"/>
          <w:b w:val="0"/>
          <w:i w:val="0"/>
          <w:sz w:val="22"/>
        </w:rPr>
        <w:t>O maior desequilíbrio é justamente o bairro (% negro na UPA (z), d = −1,17) — o que reforça a tese, não a enfraquece: a segregação residencial é o desequilíbrio, não um ruído a controlar.</w:t>
      </w:r>
    </w:p>
    <w:p>
      <w:pPr>
        <w:pStyle w:val="Heading2"/>
      </w:pPr>
      <w:r>
        <w:rPr>
          <w:rFonts w:ascii="Calibri" w:hAnsi="Calibri"/>
          <w:color w:val="1F3864"/>
        </w:rPr>
        <w:t>4.3  Multicolinearidade (VIF) no M4</w:t>
      </w:r>
    </w:p>
    <w:p>
      <w:pPr>
        <w:pStyle w:val="ListBullet"/>
        <w:spacing w:after="60"/>
        <w:ind w:left="340"/>
      </w:pPr>
      <w:r>
        <w:rPr>
          <w:rFonts w:ascii="Calibri" w:hAnsi="Calibri"/>
          <w:b w:val="0"/>
          <w:i w:val="0"/>
          <w:sz w:val="22"/>
        </w:rPr>
        <w:t>VIF máximo = 2,66 (CBO: Profissionais); nenhum dos 23 preditores acima de 10.</w:t>
      </w:r>
    </w:p>
    <w:p>
      <w:pPr>
        <w:pStyle w:val="ListBullet"/>
        <w:spacing w:after="60"/>
        <w:ind w:left="340"/>
      </w:pPr>
      <w:r>
        <w:rPr>
          <w:rFonts w:ascii="Calibri" w:hAnsi="Calibri"/>
          <w:b w:val="0"/>
          <w:i w:val="0"/>
          <w:sz w:val="22"/>
        </w:rPr>
        <w:t>O que importa: o VIF de 'negro' é 1,36. A colinearidade infla o erro-padrão dos retornos educacionais, não o do coeficiente de interesse.</w:t>
      </w:r>
    </w:p>
    <w:p>
      <w:pPr>
        <w:pStyle w:val="Heading2"/>
      </w:pPr>
      <w:r>
        <w:rPr>
          <w:rFonts w:ascii="Calibri" w:hAnsi="Calibri"/>
          <w:color w:val="1F3864"/>
        </w:rPr>
        <w:t>4.4  Machine learning: validação cruzada e SHAP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cantSplit/>
          <w:tblHeader w:val="true"/>
        </w:trPr>
        <w:tc>
          <w:tcPr>
            <w:tcW w:type="dxa" w:w="3402"/>
          </w:tcPr>
          <w:p>
            <w:pPr>
              <w:keepNext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Modelo</w:t>
            </w:r>
          </w:p>
        </w:tc>
        <w:tc>
          <w:tcPr>
            <w:tcW w:type="dxa" w:w="1701"/>
          </w:tcPr>
          <w:p>
            <w:pPr>
              <w:keepNext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R² teste</w:t>
            </w:r>
          </w:p>
        </w:tc>
        <w:tc>
          <w:tcPr>
            <w:tcW w:type="dxa" w:w="1701"/>
          </w:tcPr>
          <w:p>
            <w:pPr>
              <w:keepNext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R² treino</w:t>
            </w:r>
          </w:p>
        </w:tc>
        <w:tc>
          <w:tcPr>
            <w:tcW w:type="dxa" w:w="1984"/>
          </w:tcPr>
          <w:p>
            <w:pPr>
              <w:keepNext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Gap treino–teste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Random Forest</w:t>
            </w:r>
          </w:p>
        </w:tc>
        <w:tc>
          <w:tcPr>
            <w:tcW w:type="dxa" w:w="1701"/>
          </w:tcPr>
          <w:p>
            <w:pPr>
              <w:keepNext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0,589</w:t>
            </w:r>
          </w:p>
        </w:tc>
        <w:tc>
          <w:tcPr>
            <w:tcW w:type="dxa" w:w="1701"/>
          </w:tcPr>
          <w:p>
            <w:pPr>
              <w:keepNext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0,589</w:t>
            </w:r>
          </w:p>
        </w:tc>
        <w:tc>
          <w:tcPr>
            <w:tcW w:type="dxa" w:w="1984"/>
          </w:tcPr>
          <w:p>
            <w:pPr>
              <w:keepNext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0,0003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XGBoost</w:t>
            </w:r>
          </w:p>
        </w:tc>
        <w:tc>
          <w:tcPr>
            <w:tcW w:type="dxa" w:w="1701"/>
          </w:tcPr>
          <w:p>
            <w:pPr>
              <w:keepNext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0,644</w:t>
            </w:r>
          </w:p>
        </w:tc>
        <w:tc>
          <w:tcPr>
            <w:tcW w:type="dxa" w:w="1701"/>
          </w:tcPr>
          <w:p>
            <w:pPr>
              <w:keepNext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0,653</w:t>
            </w:r>
          </w:p>
        </w:tc>
        <w:tc>
          <w:tcPr>
            <w:tcW w:type="dxa" w:w="1984"/>
          </w:tcPr>
          <w:p>
            <w:pPr>
              <w:keepNext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0,0084</w:t>
            </w:r>
          </w:p>
        </w:tc>
      </w:tr>
      <w:tr>
        <w:trPr>
          <w:cantSplit/>
        </w:trPr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XGBoost sem renda da UPA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0,632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0,640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0,0081</w:t>
            </w:r>
          </w:p>
        </w:tc>
      </w:tr>
    </w:tbl>
    <w:p>
      <w:pPr>
        <w:spacing w:after="40"/>
      </w:pPr>
    </w:p>
    <w:p>
      <w:pPr>
        <w:pStyle w:val="ListBullet"/>
        <w:spacing w:after="60"/>
        <w:ind w:left="340"/>
      </w:pPr>
      <w:r>
        <w:rPr>
          <w:rFonts w:ascii="Calibri" w:hAnsi="Calibri"/>
          <w:b w:val="0"/>
          <w:i w:val="0"/>
          <w:sz w:val="22"/>
        </w:rPr>
        <w:t>Validação cruzada de 5 folds sobre a população (6.159.418 de treino, 1.539.855 de teste): R² = 0,644 ± 0,0006.</w:t>
      </w:r>
    </w:p>
    <w:p>
      <w:pPr>
        <w:pStyle w:val="ListBullet"/>
        <w:spacing w:after="60"/>
        <w:ind w:left="340"/>
      </w:pPr>
      <w:r>
        <w:rPr>
          <w:rFonts w:ascii="Calibri" w:hAnsi="Calibri"/>
          <w:b w:val="0"/>
          <w:i w:val="0"/>
          <w:sz w:val="22"/>
        </w:rPr>
        <w:t>A profundidade máxima 10 foi escolhida entre 6 configurações testadas numa partição de validação dentro do treino — a pior delas (profundidade 4) dava R² = 0,618. Diga isso se perguntarem por que 10.</w:t>
      </w:r>
    </w:p>
    <w:p>
      <w:pPr>
        <w:pStyle w:val="ListBullet"/>
        <w:spacing w:after="60"/>
        <w:ind w:left="340"/>
      </w:pPr>
      <w:r>
        <w:rPr>
          <w:rFonts w:ascii="Calibri" w:hAnsi="Calibri"/>
          <w:b w:val="0"/>
          <w:i w:val="0"/>
          <w:sz w:val="22"/>
        </w:rPr>
        <w:t>Erro na unidade original: mediana de R$ 664 por mês (34,6% do rendimento), com correção de smearing de Duan (1,159) — porque o modelo prevê log de renda.</w:t>
      </w:r>
    </w:p>
    <w:p>
      <w:pPr>
        <w:pStyle w:val="ListBullet"/>
        <w:spacing w:after="60"/>
        <w:ind w:left="340"/>
      </w:pPr>
      <w:r>
        <w:rPr>
          <w:rFonts w:ascii="Calibri" w:hAnsi="Calibri"/>
          <w:b w:val="0"/>
          <w:i w:val="0"/>
          <w:sz w:val="22"/>
        </w:rPr>
        <w:t>SHAP: a variável racial ocupa a 14ª posição entre 28 preditores no XGBoost (|SHAP| = 0,0266). Sem a renda média do bairro entre as features, a contribuição da raça é 0,0295 — praticamente a mesma: o resultado não depende do preditor de vizinhança.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92633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p_beeswarm_xgb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926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Calibri" w:hAnsi="Calibri"/>
          <w:b w:val="0"/>
          <w:i/>
          <w:color w:val="616161"/>
          <w:sz w:val="19"/>
        </w:rPr>
        <w:t>Contexto do bairro, diploma superior e jornada dominam a previsão de renda; a raça aparece na 14ª posição entre 28 preditores.</w:t>
      </w:r>
    </w:p>
    <w:p>
      <w:pPr>
        <w:pStyle w:val="Heading2"/>
      </w:pPr>
      <w:r>
        <w:rPr>
          <w:rFonts w:ascii="Calibri" w:hAnsi="Calibri"/>
          <w:color w:val="1F3864"/>
        </w:rPr>
        <w:t>4.5  Interseccionalidade (raça × gênero)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rPr>
          <w:cantSplit/>
          <w:tblHeader w:val="true"/>
        </w:trPr>
        <w:tc>
          <w:tcPr>
            <w:tcW w:type="dxa" w:w="2041"/>
          </w:tcPr>
          <w:p>
            <w:pPr>
              <w:keepNext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Grupo</w:t>
            </w:r>
          </w:p>
        </w:tc>
        <w:tc>
          <w:tcPr>
            <w:tcW w:type="dxa" w:w="2041"/>
          </w:tcPr>
          <w:p>
            <w:pPr>
              <w:keepNext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Gap vs. homem branco</w:t>
            </w:r>
          </w:p>
        </w:tc>
        <w:tc>
          <w:tcPr>
            <w:tcW w:type="dxa" w:w="1474"/>
          </w:tcPr>
          <w:p>
            <w:pPr>
              <w:keepNext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Dotações</w:t>
            </w:r>
          </w:p>
        </w:tc>
        <w:tc>
          <w:tcPr>
            <w:tcW w:type="dxa" w:w="1474"/>
          </w:tcPr>
          <w:p>
            <w:pPr>
              <w:keepNext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Retornos</w:t>
            </w:r>
          </w:p>
        </w:tc>
        <w:tc>
          <w:tcPr>
            <w:tcW w:type="dxa" w:w="1814"/>
          </w:tcPr>
          <w:p>
            <w:pPr>
              <w:keepNext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N do grupo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Mulher branca</w:t>
            </w:r>
          </w:p>
        </w:tc>
        <w:tc>
          <w:tcPr>
            <w:tcW w:type="dxa" w:w="2041"/>
          </w:tcPr>
          <w:p>
            <w:pPr>
              <w:keepNext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19,9%</w:t>
            </w:r>
          </w:p>
        </w:tc>
        <w:tc>
          <w:tcPr>
            <w:tcW w:type="dxa" w:w="1474"/>
          </w:tcPr>
          <w:p>
            <w:pPr>
              <w:keepNext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−97,0%</w:t>
            </w:r>
          </w:p>
        </w:tc>
        <w:tc>
          <w:tcPr>
            <w:tcW w:type="dxa" w:w="1474"/>
          </w:tcPr>
          <w:p>
            <w:pPr>
              <w:keepNext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197,0%</w:t>
            </w:r>
          </w:p>
        </w:tc>
        <w:tc>
          <w:tcPr>
            <w:tcW w:type="dxa" w:w="1814"/>
          </w:tcPr>
          <w:p>
            <w:pPr>
              <w:keepNext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1.429.355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Homem negro</w:t>
            </w:r>
          </w:p>
        </w:tc>
        <w:tc>
          <w:tcPr>
            <w:tcW w:type="dxa" w:w="2041"/>
          </w:tcPr>
          <w:p>
            <w:pPr>
              <w:keepNext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56,4%</w:t>
            </w:r>
          </w:p>
        </w:tc>
        <w:tc>
          <w:tcPr>
            <w:tcW w:type="dxa" w:w="1474"/>
          </w:tcPr>
          <w:p>
            <w:pPr>
              <w:keepNext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77,2%</w:t>
            </w:r>
          </w:p>
        </w:tc>
        <w:tc>
          <w:tcPr>
            <w:tcW w:type="dxa" w:w="1474"/>
          </w:tcPr>
          <w:p>
            <w:pPr>
              <w:keepNext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22,8%</w:t>
            </w:r>
          </w:p>
        </w:tc>
        <w:tc>
          <w:tcPr>
            <w:tcW w:type="dxa" w:w="1814"/>
          </w:tcPr>
          <w:p>
            <w:pPr>
              <w:keepNext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2.662.039</w:t>
            </w:r>
          </w:p>
        </w:tc>
      </w:tr>
      <w:tr>
        <w:trPr>
          <w:cantSplit/>
        </w:trPr>
        <w:tc>
          <w:tcPr>
            <w:tcW w:type="dxa" w:w="204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Mulher negra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80,7%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27,4%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72,6%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1.765.796</w:t>
            </w:r>
          </w:p>
        </w:tc>
      </w:tr>
    </w:tbl>
    <w:p>
      <w:pPr>
        <w:spacing w:after="40"/>
      </w:pPr>
    </w:p>
    <w:p>
      <w:pPr>
        <w:pStyle w:val="ListBullet"/>
        <w:spacing w:after="60"/>
        <w:ind w:left="340"/>
      </w:pPr>
      <w:r>
        <w:rPr>
          <w:rFonts w:ascii="Calibri" w:hAnsi="Calibri"/>
          <w:b w:val="0"/>
          <w:i w:val="0"/>
          <w:sz w:val="22"/>
        </w:rPr>
        <w:t>A mulher negra teve o maior gap (80,7% contra o homem branco), mas suas desvantagens de raça e de gênero se acumularam sem se multiplicar: em log-pontos, o gap dela (0,592) ficou abaixo da soma das penalidades isoladas (0,629). Somar os percentuais (80,7 contra 19,9 + 56,4) daria a impressão contrária: a escala percentual é convexa, e só a de log-pontos é aditiva.</w:t>
      </w:r>
    </w:p>
    <w:p>
      <w:pPr>
        <w:pStyle w:val="ListBullet"/>
        <w:spacing w:after="60"/>
        <w:ind w:left="340"/>
      </w:pPr>
      <w:r>
        <w:rPr>
          <w:rFonts w:ascii="Calibri" w:hAnsi="Calibri"/>
          <w:b w:val="0"/>
          <w:i w:val="0"/>
          <w:sz w:val="22"/>
        </w:rPr>
        <w:t>O sinal negativo das dotações da mulher branca significa que as características observáveis dela superam as do homem branco: todo o gap dela vem de retornos.</w:t>
      </w:r>
    </w:p>
    <w:p>
      <w:pPr>
        <w:pStyle w:val="ListBullet"/>
        <w:spacing w:after="60"/>
        <w:ind w:left="340"/>
      </w:pPr>
      <w:r>
        <w:rPr>
          <w:rFonts w:ascii="Calibri" w:hAnsi="Calibri"/>
          <w:b w:val="0"/>
          <w:i w:val="0"/>
          <w:sz w:val="22"/>
        </w:rPr>
        <w:t>A aparente vantagem da mulher negra no acesso a cargos CBO 1–4 é composição: vem do apoio administrativo (OR 1,96) e das profissões de nível superior, sobretudo ensino e saúde (OR 1,36), ocupações feminizadas em que a mulher branca entra ainda mais (2,20 e 1,42). Entre os dirigentes, onde se exerce comando, a mulher negra tem a menor chance de todos os grupos (OR 0,63).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14615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upo_rg_intersecciona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146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Calibri" w:hAnsi="Calibri"/>
          <w:b w:val="0"/>
          <w:i/>
          <w:color w:val="616161"/>
          <w:sz w:val="19"/>
        </w:rPr>
        <w:t>A mulher negra entra pelas ocupações feminizadas, mas não chega ao comando nem ao topo.</w:t>
      </w:r>
    </w:p>
    <w:p>
      <w:pPr>
        <w:pStyle w:val="Heading2"/>
      </w:pPr>
      <w:r>
        <w:rPr>
          <w:rFonts w:ascii="Calibri" w:hAnsi="Calibri"/>
          <w:color w:val="1F3864"/>
        </w:rPr>
        <w:t>4.6  O que o agregado esconde: cor, setor e idade</w:t>
      </w:r>
    </w:p>
    <w:p>
      <w:pPr>
        <w:pStyle w:val="ListBullet"/>
        <w:spacing w:after="60"/>
        <w:ind w:left="340"/>
      </w:pPr>
      <w:r>
        <w:rPr>
          <w:rFonts w:ascii="Calibri" w:hAnsi="Calibri"/>
          <w:b w:val="0"/>
          <w:i w:val="0"/>
          <w:sz w:val="22"/>
        </w:rPr>
        <w:t>Pretos × pardos (mesmo perfil e bairro): salário 7,4% × 5,8%; acesso OR 0,785 × 0,820; top 10% OR 0,725 × 0,768. A distância cresce no topo (QR, 9º decil: 10,0% × 8,0%). Leitura: compatível com colorismo (discriminação graduada pela tonalidade da pele, Telles 2004); 'negro' segue como categoria da política, porque os dois grupos estão abaixo dos brancos em todas as medidas.</w:t>
      </w:r>
    </w:p>
    <w:p>
      <w:pPr>
        <w:pStyle w:val="ListBullet"/>
        <w:spacing w:after="60"/>
        <w:ind w:left="340"/>
      </w:pPr>
      <w:r>
        <w:rPr>
          <w:rFonts w:ascii="Calibri" w:hAnsi="Calibri"/>
          <w:b w:val="0"/>
          <w:i w:val="0"/>
          <w:sz w:val="22"/>
        </w:rPr>
        <w:t>Setor: a porta é igualmente desigual (acesso OR 0,783 no privado × 0,786 no público); o teto não (top 10% 0,685 × 0,843; salário 7,2% × 4,6%).</w:t>
      </w:r>
    </w:p>
    <w:p>
      <w:pPr>
        <w:pStyle w:val="ListBullet"/>
        <w:spacing w:after="60"/>
        <w:ind w:left="340"/>
      </w:pPr>
      <w:r>
        <w:rPr>
          <w:rFonts w:ascii="Calibri" w:hAnsi="Calibri"/>
          <w:b w:val="0"/>
          <w:i w:val="0"/>
          <w:sz w:val="22"/>
        </w:rPr>
        <w:t>Idade: 1,7% (14–29) a 14,7% (65+). Pergunta provável: 'é coorte ou ciclo de vida?' — resposta: dado transversal não separa; ciclo de vida é compatível com o teto de vidro, coorte com melhora entre gerações; 65+ é grupo selecionado (só quem ainda trabalha).</w:t>
      </w:r>
    </w:p>
    <w:p>
      <w:pPr>
        <w:pStyle w:val="ListBullet"/>
        <w:spacing w:after="60"/>
        <w:ind w:left="340"/>
      </w:pPr>
      <w:r>
        <w:rPr>
          <w:rFonts w:ascii="Calibri" w:hAnsi="Calibri"/>
          <w:b w:val="0"/>
          <w:i w:val="0"/>
          <w:sz w:val="22"/>
        </w:rPr>
        <w:t>Teto de vidro dentro de cada UF: OR 0,762 — não decorre da composição regional dos salários. Peso amostral (V1028), no logit com efeito fixo de estado: OR do acesso 0,820 → 0,808. WeMix (pacote R de multinível ponderado): inviável com 41 mil UPAs.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F3864"/>
        </w:rPr>
        <w:t>PARTE 5 — EQUAÇÕES PARA MEMORIZAR</w:t>
      </w:r>
    </w:p>
    <w:p>
      <w:pPr>
        <w:pStyle w:val="Heading2"/>
      </w:pPr>
      <w:r>
        <w:rPr>
          <w:rFonts w:ascii="Calibri" w:hAnsi="Calibri"/>
          <w:color w:val="1F3864"/>
        </w:rPr>
        <w:t>5.1  HLM de dois níveis</w:t>
      </w:r>
    </w:p>
    <w:p>
      <w:pPr>
        <w:spacing w:before="0" w:after="40"/>
        <w:jc w:val="both"/>
      </w:pPr>
      <w:r>
        <w:rPr>
          <w:rFonts w:ascii="Calibri" w:hAnsi="Calibri"/>
          <w:b/>
          <w:i w:val="0"/>
          <w:sz w:val="22"/>
        </w:rPr>
        <w:t>Nível 1 (indivíduo i na UPA j):</w:t>
      </w:r>
    </w:p>
    <w:p>
      <w:pPr>
        <w:spacing w:before="0" w:after="120"/>
        <w:ind w:left="454"/>
        <w:jc w:val="both"/>
      </w:pPr>
      <w:r>
        <w:rPr>
          <w:rFonts w:ascii="Calibri" w:hAnsi="Calibri"/>
          <w:b w:val="0"/>
          <w:i w:val="0"/>
          <w:sz w:val="22"/>
        </w:rPr>
        <w:t>ln(W)ᵢⱼ = β₀ⱼ + β₁·Negroᵢⱼ + β₂·Sexoᵢⱼ + β₃·Xᵢⱼ + β₄·X²ᵢⱼ + Σₑ βₑ·Educₑ,ᵢⱼ + β₅′Zᵢⱼ + εᵢⱼ,  ε ~ N(0, σ²)</w:t>
      </w:r>
    </w:p>
    <w:p>
      <w:pPr>
        <w:spacing w:before="0" w:after="40"/>
        <w:jc w:val="both"/>
      </w:pPr>
      <w:r>
        <w:rPr>
          <w:rFonts w:ascii="Calibri" w:hAnsi="Calibri"/>
          <w:b/>
          <w:i w:val="0"/>
          <w:sz w:val="22"/>
        </w:rPr>
        <w:t>Nível 2 (bairro j):</w:t>
      </w:r>
    </w:p>
    <w:p>
      <w:pPr>
        <w:spacing w:before="0" w:after="120"/>
        <w:ind w:left="454"/>
        <w:jc w:val="both"/>
      </w:pPr>
      <w:r>
        <w:rPr>
          <w:rFonts w:ascii="Calibri" w:hAnsi="Calibri"/>
          <w:b w:val="0"/>
          <w:i w:val="0"/>
          <w:sz w:val="22"/>
        </w:rPr>
        <w:t>β₀ⱼ = γ₀₀ + γ₀₁·%Negroⱼ + γ₀₂·Contextoⱼ + u₀ⱼ,  u₀ⱼ ~ N(0, τ²)</w:t>
      </w:r>
    </w:p>
    <w:p>
      <w:pPr>
        <w:spacing w:before="0" w:after="120"/>
        <w:ind w:left="454"/>
        <w:jc w:val="both"/>
      </w:pPr>
      <w:r>
        <w:rPr>
          <w:rFonts w:ascii="Calibri" w:hAnsi="Calibri"/>
          <w:b/>
          <w:i w:val="0"/>
          <w:sz w:val="22"/>
        </w:rPr>
        <w:t>ICC = τ² / (τ² + σ²) = 0,3018 / (0,3018 + 0,5524) = 0,353</w:t>
      </w:r>
    </w:p>
    <w:p>
      <w:pPr>
        <w:pStyle w:val="Heading2"/>
      </w:pPr>
      <w:r>
        <w:rPr>
          <w:rFonts w:ascii="Calibri" w:hAnsi="Calibri"/>
          <w:color w:val="1F3864"/>
        </w:rPr>
        <w:t>5.2  Oaxaca–Blinder (twofold, referência = estrutura de preços dos brancos)</w:t>
      </w:r>
    </w:p>
    <w:p>
      <w:pPr>
        <w:spacing w:after="40"/>
        <w:ind w:left="454"/>
      </w:pPr>
      <w:r>
        <w:rPr>
          <w:rFonts w:ascii="Calibri" w:hAnsi="Calibri"/>
          <w:b w:val="0"/>
          <w:i w:val="0"/>
          <w:sz w:val="22"/>
        </w:rPr>
        <w:t>ln(W̄</w:t>
      </w:r>
      <w:r>
        <w:rPr>
          <w:rFonts w:ascii="Calibri" w:hAnsi="Calibri"/>
          <w:b w:val="0"/>
          <w:i w:val="0"/>
          <w:sz w:val="22"/>
          <w:vertAlign w:val="subscript"/>
        </w:rPr>
        <w:t>B</w:t>
      </w:r>
      <w:r>
        <w:rPr>
          <w:rFonts w:ascii="Calibri" w:hAnsi="Calibri"/>
          <w:b w:val="0"/>
          <w:i w:val="0"/>
          <w:sz w:val="22"/>
        </w:rPr>
        <w:t>) − ln(W̄</w:t>
      </w:r>
      <w:r>
        <w:rPr>
          <w:rFonts w:ascii="Calibri" w:hAnsi="Calibri"/>
          <w:b w:val="0"/>
          <w:i w:val="0"/>
          <w:sz w:val="22"/>
          <w:vertAlign w:val="subscript"/>
        </w:rPr>
        <w:t>N</w:t>
      </w:r>
      <w:r>
        <w:rPr>
          <w:rFonts w:ascii="Calibri" w:hAnsi="Calibri"/>
          <w:b w:val="0"/>
          <w:i w:val="0"/>
          <w:sz w:val="22"/>
        </w:rPr>
        <w:t>) = (X̄</w:t>
      </w:r>
      <w:r>
        <w:rPr>
          <w:rFonts w:ascii="Calibri" w:hAnsi="Calibri"/>
          <w:b w:val="0"/>
          <w:i w:val="0"/>
          <w:sz w:val="22"/>
          <w:vertAlign w:val="subscript"/>
        </w:rPr>
        <w:t>B</w:t>
      </w:r>
      <w:r>
        <w:rPr>
          <w:rFonts w:ascii="Calibri" w:hAnsi="Calibri"/>
          <w:b w:val="0"/>
          <w:i w:val="0"/>
          <w:sz w:val="22"/>
        </w:rPr>
        <w:t xml:space="preserve"> − X̄</w:t>
      </w:r>
      <w:r>
        <w:rPr>
          <w:rFonts w:ascii="Calibri" w:hAnsi="Calibri"/>
          <w:b w:val="0"/>
          <w:i w:val="0"/>
          <w:sz w:val="22"/>
          <w:vertAlign w:val="subscript"/>
        </w:rPr>
        <w:t>N</w:t>
      </w:r>
      <w:r>
        <w:rPr>
          <w:rFonts w:ascii="Calibri" w:hAnsi="Calibri"/>
          <w:b w:val="0"/>
          <w:i w:val="0"/>
          <w:sz w:val="22"/>
        </w:rPr>
        <w:t>)′β̂</w:t>
      </w:r>
      <w:r>
        <w:rPr>
          <w:rFonts w:ascii="Calibri" w:hAnsi="Calibri"/>
          <w:b w:val="0"/>
          <w:i w:val="0"/>
          <w:sz w:val="22"/>
          <w:vertAlign w:val="subscript"/>
        </w:rPr>
        <w:t>B</w:t>
      </w:r>
      <w:r>
        <w:rPr>
          <w:rFonts w:ascii="Calibri" w:hAnsi="Calibri"/>
          <w:b w:val="0"/>
          <w:i w:val="0"/>
          <w:sz w:val="22"/>
        </w:rPr>
        <w:t xml:space="preserve">  +  X̄</w:t>
      </w:r>
      <w:r>
        <w:rPr>
          <w:rFonts w:ascii="Calibri" w:hAnsi="Calibri"/>
          <w:b w:val="0"/>
          <w:i w:val="0"/>
          <w:sz w:val="22"/>
          <w:vertAlign w:val="subscript"/>
        </w:rPr>
        <w:t>N</w:t>
      </w:r>
      <w:r>
        <w:rPr>
          <w:rFonts w:ascii="Calibri" w:hAnsi="Calibri"/>
          <w:b w:val="0"/>
          <w:i w:val="0"/>
          <w:sz w:val="22"/>
        </w:rPr>
        <w:t>′(β̂</w:t>
      </w:r>
      <w:r>
        <w:rPr>
          <w:rFonts w:ascii="Calibri" w:hAnsi="Calibri"/>
          <w:b w:val="0"/>
          <w:i w:val="0"/>
          <w:sz w:val="22"/>
          <w:vertAlign w:val="subscript"/>
        </w:rPr>
        <w:t>B</w:t>
      </w:r>
      <w:r>
        <w:rPr>
          <w:rFonts w:ascii="Calibri" w:hAnsi="Calibri"/>
          <w:b w:val="0"/>
          <w:i w:val="0"/>
          <w:sz w:val="22"/>
        </w:rPr>
        <w:t xml:space="preserve"> − β̂</w:t>
      </w:r>
      <w:r>
        <w:rPr>
          <w:rFonts w:ascii="Calibri" w:hAnsi="Calibri"/>
          <w:b w:val="0"/>
          <w:i w:val="0"/>
          <w:sz w:val="22"/>
          <w:vertAlign w:val="subscript"/>
        </w:rPr>
        <w:t>N</w:t>
      </w:r>
      <w:r>
        <w:rPr>
          <w:rFonts w:ascii="Calibri" w:hAnsi="Calibri"/>
          <w:b w:val="0"/>
          <w:i w:val="0"/>
          <w:sz w:val="22"/>
        </w:rPr>
        <w:t>)</w:t>
      </w:r>
    </w:p>
    <w:p>
      <w:pPr>
        <w:spacing w:after="80"/>
        <w:ind w:left="454"/>
      </w:pPr>
      <w:r>
        <w:rPr>
          <w:rFonts w:ascii="Calibri" w:hAnsi="Calibri"/>
          <w:b w:val="0"/>
          <w:i w:val="0"/>
          <w:sz w:val="20"/>
        </w:rPr>
        <w:t>dotações: (X̄</w:t>
      </w:r>
      <w:r>
        <w:rPr>
          <w:rFonts w:ascii="Calibri" w:hAnsi="Calibri"/>
          <w:b w:val="0"/>
          <w:i w:val="0"/>
          <w:sz w:val="20"/>
          <w:vertAlign w:val="subscript"/>
        </w:rPr>
        <w:t>B</w:t>
      </w:r>
      <w:r>
        <w:rPr>
          <w:rFonts w:ascii="Calibri" w:hAnsi="Calibri"/>
          <w:b w:val="0"/>
          <w:i w:val="0"/>
          <w:sz w:val="20"/>
        </w:rPr>
        <w:t xml:space="preserve"> − X̄</w:t>
      </w:r>
      <w:r>
        <w:rPr>
          <w:rFonts w:ascii="Calibri" w:hAnsi="Calibri"/>
          <w:b w:val="0"/>
          <w:i w:val="0"/>
          <w:sz w:val="20"/>
          <w:vertAlign w:val="subscript"/>
        </w:rPr>
        <w:t>N</w:t>
      </w:r>
      <w:r>
        <w:rPr>
          <w:rFonts w:ascii="Calibri" w:hAnsi="Calibri"/>
          <w:b w:val="0"/>
          <w:i w:val="0"/>
          <w:sz w:val="20"/>
        </w:rPr>
        <w:t>)′β̂</w:t>
      </w:r>
      <w:r>
        <w:rPr>
          <w:rFonts w:ascii="Calibri" w:hAnsi="Calibri"/>
          <w:b w:val="0"/>
          <w:i w:val="0"/>
          <w:sz w:val="20"/>
          <w:vertAlign w:val="subscript"/>
        </w:rPr>
        <w:t>B</w:t>
      </w:r>
      <w:r>
        <w:rPr>
          <w:rFonts w:ascii="Calibri" w:hAnsi="Calibri"/>
          <w:b w:val="0"/>
          <w:i w:val="0"/>
          <w:sz w:val="20"/>
        </w:rPr>
        <w:t xml:space="preserve">   ·   retornos: X̄</w:t>
      </w:r>
      <w:r>
        <w:rPr>
          <w:rFonts w:ascii="Calibri" w:hAnsi="Calibri"/>
          <w:b w:val="0"/>
          <w:i w:val="0"/>
          <w:sz w:val="20"/>
          <w:vertAlign w:val="subscript"/>
        </w:rPr>
        <w:t>N</w:t>
      </w:r>
      <w:r>
        <w:rPr>
          <w:rFonts w:ascii="Calibri" w:hAnsi="Calibri"/>
          <w:b w:val="0"/>
          <w:i w:val="0"/>
          <w:sz w:val="20"/>
        </w:rPr>
        <w:t>′(β̂</w:t>
      </w:r>
      <w:r>
        <w:rPr>
          <w:rFonts w:ascii="Calibri" w:hAnsi="Calibri"/>
          <w:b w:val="0"/>
          <w:i w:val="0"/>
          <w:sz w:val="20"/>
          <w:vertAlign w:val="subscript"/>
        </w:rPr>
        <w:t>B</w:t>
      </w:r>
      <w:r>
        <w:rPr>
          <w:rFonts w:ascii="Calibri" w:hAnsi="Calibri"/>
          <w:b w:val="0"/>
          <w:i w:val="0"/>
          <w:sz w:val="20"/>
        </w:rPr>
        <w:t xml:space="preserve"> − β̂</w:t>
      </w:r>
      <w:r>
        <w:rPr>
          <w:rFonts w:ascii="Calibri" w:hAnsi="Calibri"/>
          <w:b w:val="0"/>
          <w:i w:val="0"/>
          <w:sz w:val="20"/>
          <w:vertAlign w:val="subscript"/>
        </w:rPr>
        <w:t>N</w:t>
      </w:r>
      <w:r>
        <w:rPr>
          <w:rFonts w:ascii="Calibri" w:hAnsi="Calibri"/>
          <w:b w:val="0"/>
          <w:i w:val="0"/>
          <w:sz w:val="20"/>
        </w:rPr>
        <w:t>)</w:t>
      </w:r>
    </w:p>
    <w:p>
      <w:pPr>
        <w:pStyle w:val="Heading2"/>
      </w:pPr>
      <w:r>
        <w:rPr>
          <w:rFonts w:ascii="Calibri" w:hAnsi="Calibri"/>
          <w:color w:val="1F3864"/>
        </w:rPr>
        <w:t>5.3  GLMM logístico</w:t>
      </w:r>
    </w:p>
    <w:p>
      <w:pPr>
        <w:spacing w:before="0" w:after="40"/>
        <w:ind w:left="454"/>
        <w:jc w:val="both"/>
      </w:pPr>
      <w:r>
        <w:rPr>
          <w:rFonts w:ascii="Calibri" w:hAnsi="Calibri"/>
          <w:b w:val="0"/>
          <w:i w:val="0"/>
          <w:sz w:val="22"/>
        </w:rPr>
        <w:t>logit(P(Yᵢⱼ = 1)) = γ₀₀ + β₁·Negroᵢⱼ + β′Xᵢⱼ + u₀ⱼ,  u₀ⱼ ~ N(0, τ²)</w:t>
      </w:r>
    </w:p>
    <w:p>
      <w:pPr>
        <w:spacing w:before="0" w:after="120"/>
        <w:ind w:left="454"/>
        <w:jc w:val="both"/>
      </w:pPr>
      <w:r>
        <w:rPr>
          <w:rFonts w:ascii="Calibri" w:hAnsi="Calibri"/>
          <w:b/>
          <w:i w:val="0"/>
          <w:sz w:val="22"/>
        </w:rPr>
        <w:t>ICC = τ² / (τ² + π²/3);  OR = exp(β₁) = 0,814</w:t>
      </w:r>
    </w:p>
    <w:p>
      <w:pPr>
        <w:pStyle w:val="Heading2"/>
      </w:pPr>
      <w:r>
        <w:rPr>
          <w:rFonts w:ascii="Calibri" w:hAnsi="Calibri"/>
          <w:color w:val="1F3864"/>
        </w:rPr>
        <w:t>5.4  E-value (VanderWeele &amp; Ding, 2017)</w:t>
      </w:r>
    </w:p>
    <w:p>
      <w:pPr>
        <w:spacing w:before="0" w:after="40"/>
        <w:ind w:left="454"/>
        <w:jc w:val="both"/>
      </w:pPr>
      <w:r>
        <w:rPr>
          <w:rFonts w:ascii="Calibri" w:hAnsi="Calibri"/>
          <w:b w:val="0"/>
          <w:i w:val="0"/>
          <w:sz w:val="22"/>
        </w:rPr>
        <w:t>E = RR + √(RR·(RR − 1)),  com RR = 1/OR quando OR &lt; 1</w:t>
      </w:r>
    </w:p>
    <w:p>
      <w:pPr>
        <w:spacing w:before="0" w:after="40"/>
        <w:ind w:left="454"/>
        <w:jc w:val="both"/>
      </w:pPr>
      <w:r>
        <w:rPr>
          <w:rFonts w:ascii="Calibri" w:hAnsi="Calibri"/>
          <w:b w:val="0"/>
          <w:i w:val="0"/>
          <w:sz w:val="22"/>
        </w:rPr>
        <w:t>Desfecho comum (prevalência ≥ 15%, como o acesso): RR ≈ √(1/OR) antes da fórmula.</w:t>
      </w:r>
    </w:p>
    <w:p>
      <w:pPr>
        <w:spacing w:before="0" w:after="120"/>
        <w:ind w:left="454"/>
        <w:jc w:val="both"/>
      </w:pPr>
      <w:r>
        <w:rPr>
          <w:rFonts w:ascii="Calibri" w:hAnsi="Calibri"/>
          <w:b/>
          <w:i w:val="0"/>
          <w:sz w:val="22"/>
        </w:rPr>
        <w:t>Para OR = 0,814:  E = 1,46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F3864"/>
        </w:rPr>
        <w:t>PARTE 6 — AS PERGUNTAS DIFÍCEIS, COM RESPOSTA PRONTA</w:t>
      </w:r>
    </w:p>
    <w:p>
      <w:pPr>
        <w:spacing w:before="0" w:after="120"/>
        <w:jc w:val="both"/>
      </w:pPr>
      <w:r>
        <w:rPr>
          <w:rFonts w:ascii="Calibri" w:hAnsi="Calibri"/>
          <w:b w:val="0"/>
          <w:i/>
          <w:color w:val="B71C1C"/>
          <w:sz w:val="22"/>
        </w:rPr>
        <w:t>Regra de ouro: nunca diga “causa”, “prova” ou “determina”. Diga “associa-se”, “é consistente com”, “penalidade condicional a X”.</w:t>
      </w:r>
    </w:p>
    <w:p>
      <w:pPr>
        <w:spacing w:before="160" w:after="40"/>
      </w:pPr>
      <w:r>
        <w:rPr>
          <w:rFonts w:ascii="Calibri" w:hAnsi="Calibri"/>
          <w:b/>
          <w:i w:val="0"/>
          <w:color w:val="B71C1C"/>
          <w:sz w:val="22"/>
        </w:rPr>
        <w:t xml:space="preserve">P. </w:t>
      </w:r>
      <w:r>
        <w:rPr>
          <w:rFonts w:ascii="Calibri" w:hAnsi="Calibri"/>
          <w:b/>
          <w:i w:val="0"/>
          <w:sz w:val="22"/>
        </w:rPr>
        <w:t>Isso é causal?</w:t>
      </w:r>
    </w:p>
    <w:p>
      <w:pPr>
        <w:spacing w:after="80"/>
        <w:ind w:left="340"/>
        <w:jc w:val="both"/>
      </w:pPr>
      <w:r>
        <w:rPr>
          <w:rFonts w:ascii="Calibri" w:hAnsi="Calibri"/>
          <w:b/>
          <w:i w:val="0"/>
          <w:color w:val="1565C0"/>
          <w:sz w:val="21"/>
        </w:rPr>
        <w:t xml:space="preserve">R. </w:t>
      </w:r>
      <w:r>
        <w:rPr>
          <w:rFonts w:ascii="Calibri" w:hAnsi="Calibri"/>
          <w:b w:val="0"/>
          <w:i w:val="0"/>
          <w:sz w:val="21"/>
        </w:rPr>
        <w:t>Não, e o trabalho não afirma que seja. O que se estima é associação condicional sob seleção em observáveis. A seção de limitações lista as sete hipóteses uma a uma e o que acontece se cada uma falhar. O que sustenta o diagnóstico é a convergência de quatro métodos e a magnitude: seria preciso 98,4% de viés, ou um confundidor com OR de 1,5, para anular o resultado.</w:t>
      </w:r>
    </w:p>
    <w:p>
      <w:pPr>
        <w:spacing w:before="160" w:after="40"/>
      </w:pPr>
      <w:r>
        <w:rPr>
          <w:rFonts w:ascii="Calibri" w:hAnsi="Calibri"/>
          <w:b/>
          <w:i w:val="0"/>
          <w:color w:val="B71C1C"/>
          <w:sz w:val="22"/>
        </w:rPr>
        <w:t xml:space="preserve">P. </w:t>
      </w:r>
      <w:r>
        <w:rPr>
          <w:rFonts w:ascii="Calibri" w:hAnsi="Calibri"/>
          <w:b/>
          <w:i w:val="0"/>
          <w:sz w:val="22"/>
        </w:rPr>
        <w:t>Controlar por ocupação não é bad control?</w:t>
      </w:r>
    </w:p>
    <w:p>
      <w:pPr>
        <w:spacing w:after="80"/>
        <w:ind w:left="340"/>
        <w:jc w:val="both"/>
      </w:pPr>
      <w:r>
        <w:rPr>
          <w:rFonts w:ascii="Calibri" w:hAnsi="Calibri"/>
          <w:b/>
          <w:i w:val="0"/>
          <w:color w:val="1565C0"/>
          <w:sz w:val="21"/>
        </w:rPr>
        <w:t xml:space="preserve">R. </w:t>
      </w:r>
      <w:r>
        <w:rPr>
          <w:rFonts w:ascii="Calibri" w:hAnsi="Calibri"/>
          <w:b w:val="0"/>
          <w:i w:val="0"/>
          <w:sz w:val="21"/>
        </w:rPr>
        <w:t>É, e é por isso que as duas versões são reportadas lado a lado. Ocupação e formalidade são desfechos da própria discriminação: incluí-las (M4, especificação B da Oaxaca-Blinder) dá 5,6% — um limite inferior descritivo, a discriminação dentro da ocupação. Sem elas (M3, especificação A) o gap é 6,1%. A comparação com a literatura é feita sempre na mesma especificação.</w:t>
      </w:r>
    </w:p>
    <w:p>
      <w:pPr>
        <w:spacing w:before="160" w:after="40"/>
      </w:pPr>
      <w:r>
        <w:rPr>
          <w:rFonts w:ascii="Calibri" w:hAnsi="Calibri"/>
          <w:b/>
          <w:i w:val="0"/>
          <w:color w:val="B71C1C"/>
          <w:sz w:val="22"/>
        </w:rPr>
        <w:t xml:space="preserve">P. </w:t>
      </w:r>
      <w:r>
        <w:rPr>
          <w:rFonts w:ascii="Calibri" w:hAnsi="Calibri"/>
          <w:b/>
          <w:i w:val="0"/>
          <w:sz w:val="22"/>
        </w:rPr>
        <w:t>A renda média do bairro não é reflexo (Manski)?</w:t>
      </w:r>
    </w:p>
    <w:p>
      <w:pPr>
        <w:spacing w:after="80"/>
        <w:ind w:left="340"/>
        <w:jc w:val="both"/>
      </w:pPr>
      <w:r>
        <w:rPr>
          <w:rFonts w:ascii="Calibri" w:hAnsi="Calibri"/>
          <w:b/>
          <w:i w:val="0"/>
          <w:color w:val="1565C0"/>
          <w:sz w:val="21"/>
        </w:rPr>
        <w:t xml:space="preserve">R. </w:t>
      </w:r>
      <w:r>
        <w:rPr>
          <w:rFonts w:ascii="Calibri" w:hAnsi="Calibri"/>
          <w:b w:val="0"/>
          <w:i w:val="0"/>
          <w:sz w:val="21"/>
        </w:rPr>
        <w:t>É — e por isso ela foi removida dos modelos de acesso e, no XGBoost, substituída pela média leave-one-out, que exclui o próprio indivíduo. O R² cai pouco e a contribuição SHAP da raça fica praticamente idêntica (0,0266 contra 0,0295 sem a variável). Ainda assim, choques comuns ao bairro impedem leitura causal do coeficiente contextual, e isso está dito nas limitações.</w:t>
      </w:r>
    </w:p>
    <w:p>
      <w:pPr>
        <w:spacing w:before="160" w:after="40"/>
      </w:pPr>
      <w:r>
        <w:rPr>
          <w:rFonts w:ascii="Calibri" w:hAnsi="Calibri"/>
          <w:b/>
          <w:i w:val="0"/>
          <w:color w:val="B71C1C"/>
          <w:sz w:val="22"/>
        </w:rPr>
        <w:t xml:space="preserve">P. </w:t>
      </w:r>
      <w:r>
        <w:rPr>
          <w:rFonts w:ascii="Calibri" w:hAnsi="Calibri"/>
          <w:b/>
          <w:i w:val="0"/>
          <w:sz w:val="22"/>
        </w:rPr>
        <w:t>Os erros-padrão consideram o desenho da PNAD?</w:t>
      </w:r>
    </w:p>
    <w:p>
      <w:pPr>
        <w:spacing w:after="80"/>
        <w:ind w:left="340"/>
        <w:jc w:val="both"/>
      </w:pPr>
      <w:r>
        <w:rPr>
          <w:rFonts w:ascii="Calibri" w:hAnsi="Calibri"/>
          <w:b/>
          <w:i w:val="0"/>
          <w:color w:val="1565C0"/>
          <w:sz w:val="21"/>
        </w:rPr>
        <w:t xml:space="preserve">R. </w:t>
      </w:r>
      <w:r>
        <w:rPr>
          <w:rFonts w:ascii="Calibri" w:hAnsi="Calibri"/>
          <w:b w:val="0"/>
          <w:i w:val="0"/>
          <w:sz w:val="21"/>
        </w:rPr>
        <w:t>Sim. A PNAD amostra por conglomerados, então todos os modelos reportam erro-padrão agrupado por UPA ou modelam o bairro como efeito aleatório. Oaxaca-Blinder, regressão quantílica e RIF usam bootstrap em blocos de UPA. Para o agrupamento por UF, que tem só 27 clusters, usa-se t com G−1 graus de liberdade — abaixo das 42 unidades que Angrist e Pischke sugerem como piso para a aproximação normal.</w:t>
      </w:r>
    </w:p>
    <w:p>
      <w:pPr>
        <w:spacing w:before="160" w:after="40"/>
      </w:pPr>
      <w:r>
        <w:rPr>
          <w:rFonts w:ascii="Calibri" w:hAnsi="Calibri"/>
          <w:b/>
          <w:i w:val="0"/>
          <w:color w:val="B71C1C"/>
          <w:sz w:val="22"/>
        </w:rPr>
        <w:t xml:space="preserve">P. </w:t>
      </w:r>
      <w:r>
        <w:rPr>
          <w:rFonts w:ascii="Calibri" w:hAnsi="Calibri"/>
          <w:b/>
          <w:i w:val="0"/>
          <w:sz w:val="22"/>
        </w:rPr>
        <w:t>Por que não usar os pesos amostrais?</w:t>
      </w:r>
    </w:p>
    <w:p>
      <w:pPr>
        <w:spacing w:after="80"/>
        <w:ind w:left="340"/>
        <w:jc w:val="both"/>
      </w:pPr>
      <w:r>
        <w:rPr>
          <w:rFonts w:ascii="Calibri" w:hAnsi="Calibri"/>
          <w:b/>
          <w:i w:val="0"/>
          <w:color w:val="1565C0"/>
          <w:sz w:val="21"/>
        </w:rPr>
        <w:t xml:space="preserve">R. </w:t>
      </w:r>
      <w:r>
        <w:rPr>
          <w:rFonts w:ascii="Calibri" w:hAnsi="Calibri"/>
          <w:b w:val="0"/>
          <w:i w:val="0"/>
          <w:sz w:val="21"/>
        </w:rPr>
        <w:t>As estimativas principais são não ponderadas e isso está declarado: elas descrevem a regressão na amostra, não a média populacional. Como robustez, o modelo-chave foi reestimado com o peso V1028 e o gap muda cerca de meio ponto percentual. Em regressão com os estratos do desenho entre os controles, ponderar altera pouco os coeficientes e infla a variância.</w:t>
      </w:r>
    </w:p>
    <w:p>
      <w:pPr>
        <w:spacing w:before="160" w:after="40"/>
      </w:pPr>
      <w:r>
        <w:rPr>
          <w:rFonts w:ascii="Calibri" w:hAnsi="Calibri"/>
          <w:b/>
          <w:i w:val="0"/>
          <w:color w:val="B71C1C"/>
          <w:sz w:val="22"/>
        </w:rPr>
        <w:t xml:space="preserve">P. </w:t>
      </w:r>
      <w:r>
        <w:rPr>
          <w:rFonts w:ascii="Calibri" w:hAnsi="Calibri"/>
          <w:b/>
          <w:i w:val="0"/>
          <w:sz w:val="22"/>
        </w:rPr>
        <w:t>Com 7,7 milhões de observações, tudo não fica significativo?</w:t>
      </w:r>
    </w:p>
    <w:p>
      <w:pPr>
        <w:spacing w:after="80"/>
        <w:ind w:left="340"/>
        <w:jc w:val="both"/>
      </w:pPr>
      <w:r>
        <w:rPr>
          <w:rFonts w:ascii="Calibri" w:hAnsi="Calibri"/>
          <w:b/>
          <w:i w:val="0"/>
          <w:color w:val="1565C0"/>
          <w:sz w:val="21"/>
        </w:rPr>
        <w:t xml:space="preserve">R. </w:t>
      </w:r>
      <w:r>
        <w:rPr>
          <w:rFonts w:ascii="Calibri" w:hAnsi="Calibri"/>
          <w:b w:val="0"/>
          <w:i w:val="0"/>
          <w:sz w:val="21"/>
        </w:rPr>
        <w:t>Fica — e é por isso que a leitura privilegia magnitude, intervalos de confiança e E-values, não asteriscos. Um exemplo no próprio trabalho: a tendência temporal do gap tem p = 0,027, significante: 0,0009 log-ponto por ano. Mas o estudo de evento mostra que não é um ritmo: a penalidade oscilou sem tendência até 2019, caiu em 2020 (7,0% → 5,9%, com efeito fixo de bairro) e não voltou ao nível anterior (5,2% em 2025) — um degrau, não uma rampa a extrapolar.</w:t>
      </w:r>
    </w:p>
    <w:p>
      <w:pPr>
        <w:spacing w:before="160" w:after="40"/>
      </w:pPr>
      <w:r>
        <w:rPr>
          <w:rFonts w:ascii="Calibri" w:hAnsi="Calibri"/>
          <w:b/>
          <w:i w:val="0"/>
          <w:color w:val="B71C1C"/>
          <w:sz w:val="22"/>
        </w:rPr>
        <w:t xml:space="preserve">P. </w:t>
      </w:r>
      <w:r>
        <w:rPr>
          <w:rFonts w:ascii="Calibri" w:hAnsi="Calibri"/>
          <w:b/>
          <w:i w:val="0"/>
          <w:sz w:val="22"/>
        </w:rPr>
        <w:t>E a quebra de 2020? A pandemia não contamina a série?</w:t>
      </w:r>
    </w:p>
    <w:p>
      <w:pPr>
        <w:spacing w:after="80"/>
        <w:ind w:left="340"/>
        <w:jc w:val="both"/>
      </w:pPr>
      <w:r>
        <w:rPr>
          <w:rFonts w:ascii="Calibri" w:hAnsi="Calibri"/>
          <w:b/>
          <w:i w:val="0"/>
          <w:color w:val="1565C0"/>
          <w:sz w:val="21"/>
        </w:rPr>
        <w:t xml:space="preserve">R. </w:t>
      </w:r>
      <w:r>
        <w:rPr>
          <w:rFonts w:ascii="Calibri" w:hAnsi="Calibri"/>
          <w:b w:val="0"/>
          <w:i w:val="0"/>
          <w:sz w:val="21"/>
        </w:rPr>
        <w:t>Testado com um estudo de evento (base 2019, efeito fixo de bairro, erro por UPA). A penalidade caiu de 7,0% para 5,9% em 2020 (1,0 log-ponto acima da tendência, p = 0,004) e não voltou (5,2% em 2025). Não é seleção: a ocupação dos negros caiu só 0,26 p.p. a mais em 2020, dentro da tendência, e cresceu mais que a dos brancos desde 2022. Não é a entrevista por telefone: persiste após a volta da coleta presencial. Sem grupo de controle, não se identifica a causa; os resultados agrupados de 2016–2025 são uma média de antes e depois do degrau.</w:t>
      </w:r>
    </w:p>
    <w:p>
      <w:pPr>
        <w:spacing w:before="160" w:after="40"/>
      </w:pPr>
      <w:r>
        <w:rPr>
          <w:rFonts w:ascii="Calibri" w:hAnsi="Calibri"/>
          <w:b/>
          <w:i w:val="0"/>
          <w:color w:val="B71C1C"/>
          <w:sz w:val="22"/>
        </w:rPr>
        <w:t xml:space="preserve">P. </w:t>
      </w:r>
      <w:r>
        <w:rPr>
          <w:rFonts w:ascii="Calibri" w:hAnsi="Calibri"/>
          <w:b/>
          <w:i w:val="0"/>
          <w:sz w:val="22"/>
        </w:rPr>
        <w:t>Por que UPA como efeito aleatório e UF como efeito fixo?</w:t>
      </w:r>
    </w:p>
    <w:p>
      <w:pPr>
        <w:spacing w:after="80"/>
        <w:ind w:left="340"/>
        <w:jc w:val="both"/>
      </w:pPr>
      <w:r>
        <w:rPr>
          <w:rFonts w:ascii="Calibri" w:hAnsi="Calibri"/>
          <w:b/>
          <w:i w:val="0"/>
          <w:color w:val="1565C0"/>
          <w:sz w:val="21"/>
        </w:rPr>
        <w:t xml:space="preserve">R. </w:t>
      </w:r>
      <w:r>
        <w:rPr>
          <w:rFonts w:ascii="Calibri" w:hAnsi="Calibri"/>
          <w:b w:val="0"/>
          <w:i w:val="0"/>
          <w:sz w:val="21"/>
        </w:rPr>
        <w:t>Porque 27 unidades são poucas para estimar uma distribuição no terceiro nível, e 26 dummies absorvem todo o contexto estadual sem hipótese distribucional. A hipótese em teste é sobre o bairro, que tem 41.454 unidades. Como contraprova, todos os coeficientes foram reestimados com efeitos fixos de UF e erro agrupado por UPA, com as mesmas conclusões.</w:t>
      </w:r>
    </w:p>
    <w:p>
      <w:pPr>
        <w:spacing w:before="160" w:after="40"/>
      </w:pPr>
      <w:r>
        <w:rPr>
          <w:rFonts w:ascii="Calibri" w:hAnsi="Calibri"/>
          <w:b/>
          <w:i w:val="0"/>
          <w:color w:val="B71C1C"/>
          <w:sz w:val="22"/>
        </w:rPr>
        <w:t xml:space="preserve">P. </w:t>
      </w:r>
      <w:r>
        <w:rPr>
          <w:rFonts w:ascii="Calibri" w:hAnsi="Calibri"/>
          <w:b/>
          <w:i w:val="0"/>
          <w:sz w:val="22"/>
        </w:rPr>
        <w:t>Só analisa quem tem renda positiva — isso não é seleção?</w:t>
      </w:r>
    </w:p>
    <w:p>
      <w:pPr>
        <w:spacing w:after="80"/>
        <w:ind w:left="340"/>
        <w:jc w:val="both"/>
      </w:pPr>
      <w:r>
        <w:rPr>
          <w:rFonts w:ascii="Calibri" w:hAnsi="Calibri"/>
          <w:b/>
          <w:i w:val="0"/>
          <w:color w:val="1565C0"/>
          <w:sz w:val="21"/>
        </w:rPr>
        <w:t xml:space="preserve">R. </w:t>
      </w:r>
      <w:r>
        <w:rPr>
          <w:rFonts w:ascii="Calibri" w:hAnsi="Calibri"/>
          <w:b w:val="0"/>
          <w:i w:val="0"/>
          <w:sz w:val="21"/>
        </w:rPr>
        <w:t>É condicionar no desfecho, sim. A direção provável do viés é de subestimação: se os trabalhadores negros que permanecem ocupados são positivamente selecionados em atributos não observados, o gap entre observados é menor que o gap potencial. O modelo logístico de acesso trata diretamente a outra metade do problema. Uma correção à Heckman exigiria uma variável de exclusão crível — algo que mude a chance de estar ocupado sem mudar o salário — e fica como extensão; por isso o gap reportado é o gap entre ocupados.</w:t>
      </w:r>
    </w:p>
    <w:p>
      <w:pPr>
        <w:spacing w:before="160" w:after="40"/>
      </w:pPr>
      <w:r>
        <w:rPr>
          <w:rFonts w:ascii="Calibri" w:hAnsi="Calibri"/>
          <w:b/>
          <w:i w:val="0"/>
          <w:color w:val="B71C1C"/>
          <w:sz w:val="22"/>
        </w:rPr>
        <w:t xml:space="preserve">P. </w:t>
      </w:r>
      <w:r>
        <w:rPr>
          <w:rFonts w:ascii="Calibri" w:hAnsi="Calibri"/>
          <w:b/>
          <w:i w:val="0"/>
          <w:sz w:val="22"/>
        </w:rPr>
        <w:t>OR de 0,814 quer dizer 19% menos probabilidade?</w:t>
      </w:r>
    </w:p>
    <w:p>
      <w:pPr>
        <w:spacing w:after="80"/>
        <w:ind w:left="340"/>
        <w:jc w:val="both"/>
      </w:pPr>
      <w:r>
        <w:rPr>
          <w:rFonts w:ascii="Calibri" w:hAnsi="Calibri"/>
          <w:b/>
          <w:i w:val="0"/>
          <w:color w:val="1565C0"/>
          <w:sz w:val="21"/>
        </w:rPr>
        <w:t xml:space="preserve">R. </w:t>
      </w:r>
      <w:r>
        <w:rPr>
          <w:rFonts w:ascii="Calibri" w:hAnsi="Calibri"/>
          <w:b w:val="0"/>
          <w:i w:val="0"/>
          <w:sz w:val="21"/>
        </w:rPr>
        <w:t>Não: quer dizer 19% menos chance, no sentido de odds. Em probabilidade, o efeito marginal médio é de 2,6 pontos percentuais. Os dois números estão na tabela justamente para essa pergunta.</w:t>
      </w:r>
    </w:p>
    <w:p>
      <w:pPr>
        <w:spacing w:before="160" w:after="40"/>
      </w:pPr>
      <w:r>
        <w:rPr>
          <w:rFonts w:ascii="Calibri" w:hAnsi="Calibri"/>
          <w:b/>
          <w:i w:val="0"/>
          <w:color w:val="B71C1C"/>
          <w:sz w:val="22"/>
        </w:rPr>
        <w:t xml:space="preserve">P. </w:t>
      </w:r>
      <w:r>
        <w:rPr>
          <w:rFonts w:ascii="Calibri" w:hAnsi="Calibri"/>
          <w:b/>
          <w:i w:val="0"/>
          <w:sz w:val="22"/>
        </w:rPr>
        <w:t>Por que machine learning num trabalho de econometria?</w:t>
      </w:r>
    </w:p>
    <w:p>
      <w:pPr>
        <w:spacing w:after="80"/>
        <w:ind w:left="340"/>
        <w:jc w:val="both"/>
      </w:pPr>
      <w:r>
        <w:rPr>
          <w:rFonts w:ascii="Calibri" w:hAnsi="Calibri"/>
          <w:b/>
          <w:i w:val="0"/>
          <w:color w:val="1565C0"/>
          <w:sz w:val="21"/>
        </w:rPr>
        <w:t xml:space="preserve">R. </w:t>
      </w:r>
      <w:r>
        <w:rPr>
          <w:rFonts w:ascii="Calibri" w:hAnsi="Calibri"/>
          <w:b w:val="0"/>
          <w:i w:val="0"/>
          <w:sz w:val="21"/>
        </w:rPr>
        <w:t>Ele não estima efeito nenhum — tem função de contraprova. Se a penalidade racial fosse artefato da forma funcional linear imposta pelo HLM, um modelo sem essa imposição não daria peso à variável de raça. Dá: 14ª posição entre 28 preditores. É convergência entre dois regimes epistemológicos diferentes — um inferencial, outro preditivo.</w:t>
      </w:r>
    </w:p>
    <w:p>
      <w:pPr>
        <w:spacing w:before="160" w:after="40"/>
      </w:pPr>
      <w:r>
        <w:rPr>
          <w:rFonts w:ascii="Calibri" w:hAnsi="Calibri"/>
          <w:b/>
          <w:i w:val="0"/>
          <w:color w:val="B71C1C"/>
          <w:sz w:val="22"/>
        </w:rPr>
        <w:t xml:space="preserve">P. </w:t>
      </w:r>
      <w:r>
        <w:rPr>
          <w:rFonts w:ascii="Calibri" w:hAnsi="Calibri"/>
          <w:b/>
          <w:i w:val="0"/>
          <w:sz w:val="22"/>
        </w:rPr>
        <w:t>Como sabe que o XGBoost não está sobreajustado?</w:t>
      </w:r>
    </w:p>
    <w:p>
      <w:pPr>
        <w:spacing w:after="80"/>
        <w:ind w:left="340"/>
        <w:jc w:val="both"/>
      </w:pPr>
      <w:r>
        <w:rPr>
          <w:rFonts w:ascii="Calibri" w:hAnsi="Calibri"/>
          <w:b/>
          <w:i w:val="0"/>
          <w:color w:val="1565C0"/>
          <w:sz w:val="21"/>
        </w:rPr>
        <w:t xml:space="preserve">R. </w:t>
      </w:r>
      <w:r>
        <w:rPr>
          <w:rFonts w:ascii="Calibri" w:hAnsi="Calibri"/>
          <w:b w:val="0"/>
          <w:i w:val="0"/>
          <w:sz w:val="21"/>
        </w:rPr>
        <w:t>Três evidências: o gap entre R² de treino e de teste é 0,0084; N é muitas ordens de grandeza maior que a complexidade do modelo regularizado; e o R² de teste é estável entre a validação cruzada de 5 folds (0,644 ± 0,0006) e a partição única. Ampliar a base de amostral para populacional reduz, não aumenta, o risco de sobreajuste.</w:t>
      </w:r>
    </w:p>
    <w:p>
      <w:pPr>
        <w:spacing w:before="160" w:after="40"/>
      </w:pPr>
      <w:r>
        <w:rPr>
          <w:rFonts w:ascii="Calibri" w:hAnsi="Calibri"/>
          <w:b/>
          <w:i w:val="0"/>
          <w:color w:val="B71C1C"/>
          <w:sz w:val="22"/>
        </w:rPr>
        <w:t xml:space="preserve">P. </w:t>
      </w:r>
      <w:r>
        <w:rPr>
          <w:rFonts w:ascii="Calibri" w:hAnsi="Calibri"/>
          <w:b/>
          <w:i w:val="0"/>
          <w:sz w:val="22"/>
        </w:rPr>
        <w:t>Por que não há análise de redes sociais nem pesquisa operacional?</w:t>
      </w:r>
    </w:p>
    <w:p>
      <w:pPr>
        <w:spacing w:after="80"/>
        <w:ind w:left="340"/>
        <w:jc w:val="both"/>
      </w:pPr>
      <w:r>
        <w:rPr>
          <w:rFonts w:ascii="Calibri" w:hAnsi="Calibri"/>
          <w:b/>
          <w:i w:val="0"/>
          <w:color w:val="1565C0"/>
          <w:sz w:val="21"/>
        </w:rPr>
        <w:t xml:space="preserve">R. </w:t>
      </w:r>
      <w:r>
        <w:rPr>
          <w:rFonts w:ascii="Calibri" w:hAnsi="Calibri"/>
          <w:b w:val="0"/>
          <w:i w:val="0"/>
          <w:sz w:val="21"/>
        </w:rPr>
        <w:t>Porque o escopo foi fechado em quatro métodos que respondem a quatro perguntas distintas e podem ser defendidos em profundidade. As análises de redes e de priorização de políticas existem, estão preservadas no branch mestrado-extenso do repositório, mas ficaram como agenda: sem dado de vínculo individual, a rede é de co-residência e não de indicação profissional — o mecanismo de Granovetter fica como hipótese não testada.</w:t>
      </w:r>
    </w:p>
    <w:p>
      <w:pPr>
        <w:spacing w:before="160" w:after="40"/>
      </w:pPr>
      <w:r>
        <w:rPr>
          <w:rFonts w:ascii="Calibri" w:hAnsi="Calibri"/>
          <w:b/>
          <w:i w:val="0"/>
          <w:color w:val="B71C1C"/>
          <w:sz w:val="22"/>
        </w:rPr>
        <w:t xml:space="preserve">P. </w:t>
      </w:r>
      <w:r>
        <w:rPr>
          <w:rFonts w:ascii="Calibri" w:hAnsi="Calibri"/>
          <w:b/>
          <w:i w:val="0"/>
          <w:sz w:val="22"/>
        </w:rPr>
        <w:t>A mulher negra tem penalidade dupla ou tripla?</w:t>
      </w:r>
    </w:p>
    <w:p>
      <w:pPr>
        <w:spacing w:after="80"/>
        <w:ind w:left="340"/>
        <w:jc w:val="both"/>
      </w:pPr>
      <w:r>
        <w:rPr>
          <w:rFonts w:ascii="Calibri" w:hAnsi="Calibri"/>
          <w:b/>
          <w:i w:val="0"/>
          <w:color w:val="1565C0"/>
          <w:sz w:val="21"/>
        </w:rPr>
        <w:t xml:space="preserve">R. </w:t>
      </w:r>
      <w:r>
        <w:rPr>
          <w:rFonts w:ascii="Calibri" w:hAnsi="Calibri"/>
          <w:b w:val="0"/>
          <w:i w:val="0"/>
          <w:sz w:val="21"/>
        </w:rPr>
        <w:t>Dupla, no sentido de que acumula as duas — não tripla. A mulher negra teve o maior gap (80,7% contra o homem branco), mas suas desvantagens de raça e de gênero se acumularam sem se multiplicar: em log-pontos, o gap dela (0,592) ficou abaixo da soma das penalidades isoladas (0,629). A interação negro × mulher do GLMM também é sub-aditiva. Dizer o número exato é mais forte que dizer “dupla discriminação”, e evita a armadilha de somar percentuais.</w:t>
      </w:r>
    </w:p>
    <w:p>
      <w:pPr>
        <w:spacing w:before="160" w:after="40"/>
      </w:pPr>
      <w:r>
        <w:rPr>
          <w:rFonts w:ascii="Calibri" w:hAnsi="Calibri"/>
          <w:b/>
          <w:i w:val="0"/>
          <w:color w:val="B71C1C"/>
          <w:sz w:val="22"/>
        </w:rPr>
        <w:t xml:space="preserve">P. </w:t>
      </w:r>
      <w:r>
        <w:rPr>
          <w:rFonts w:ascii="Calibri" w:hAnsi="Calibri"/>
          <w:b/>
          <w:i w:val="0"/>
          <w:sz w:val="22"/>
        </w:rPr>
        <w:t>O que é a UPA? Esse “bairro” foi um recorte criado por vocês?</w:t>
      </w:r>
    </w:p>
    <w:p>
      <w:pPr>
        <w:spacing w:after="80"/>
        <w:ind w:left="340"/>
        <w:jc w:val="both"/>
      </w:pPr>
      <w:r>
        <w:rPr>
          <w:rFonts w:ascii="Calibri" w:hAnsi="Calibri"/>
          <w:b/>
          <w:i w:val="0"/>
          <w:color w:val="1565C0"/>
          <w:sz w:val="21"/>
        </w:rPr>
        <w:t xml:space="preserve">R. </w:t>
      </w:r>
      <w:r>
        <w:rPr>
          <w:rFonts w:ascii="Calibri" w:hAnsi="Calibri"/>
          <w:b w:val="0"/>
          <w:i w:val="0"/>
          <w:sz w:val="21"/>
        </w:rPr>
        <w:t>Não. A UPA — Unidade Primária de Amostragem — é do desenho da própria PNAD Contínua: em cada estrato, o IBGE sorteia setores censitários (ou pequenos conjuntos de setores vizinhos, quando o setor tem poucos domicílios) e, dentro de cada um, um grupo de domicílios entrevistado em cinco trimestres seguidos. O código vem no microdado público (variável UPA). Chamo de bairro porque é a menor unidade territorial que a PNAD identifica — algumas centenas de domicílios vizinhos. A correspondência é aproximada: em cidade grande, um bairro administrativo contém várias UPAs; na zona rural, uma UPA pode ser extensa. Por isso, nas equações e nos erros-padrão, o texto diz UPA.</w:t>
      </w:r>
    </w:p>
    <w:p>
      <w:pPr>
        <w:spacing w:before="160" w:after="40"/>
      </w:pPr>
      <w:r>
        <w:rPr>
          <w:rFonts w:ascii="Calibri" w:hAnsi="Calibri"/>
          <w:b/>
          <w:i w:val="0"/>
          <w:color w:val="B71C1C"/>
          <w:sz w:val="22"/>
        </w:rPr>
        <w:t xml:space="preserve">P. </w:t>
      </w:r>
      <w:r>
        <w:rPr>
          <w:rFonts w:ascii="Calibri" w:hAnsi="Calibri"/>
          <w:b/>
          <w:i w:val="0"/>
          <w:sz w:val="22"/>
        </w:rPr>
        <w:t>Qual é a maior fragilidade do trabalho?</w:t>
      </w:r>
    </w:p>
    <w:p>
      <w:pPr>
        <w:spacing w:after="80"/>
        <w:ind w:left="340"/>
        <w:jc w:val="both"/>
      </w:pPr>
      <w:r>
        <w:rPr>
          <w:rFonts w:ascii="Calibri" w:hAnsi="Calibri"/>
          <w:b/>
          <w:i w:val="0"/>
          <w:color w:val="1565C0"/>
          <w:sz w:val="21"/>
        </w:rPr>
        <w:t xml:space="preserve">R. </w:t>
      </w:r>
      <w:r>
        <w:rPr>
          <w:rFonts w:ascii="Calibri" w:hAnsi="Calibri"/>
          <w:b w:val="0"/>
          <w:i w:val="0"/>
          <w:sz w:val="21"/>
        </w:rPr>
        <w:t>O desenho transversal. Não se observa a mesma pessoa ao longo do tempo, então nada aqui identifica trajetória individual — só diferenças entre pessoas comparáveis num dado momento. A segunda é que ocupação e vínculo são, eles próprios, desfechos do processo estudado (a jornada só o é no modelo de acesso): controlá-los (M4, A3) dá um limite inferior descritivo, não o efeito líquido da raça.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F3864"/>
        </w:rPr>
        <w:t>Checklist final da véspera</w:t>
      </w:r>
    </w:p>
    <w:p>
      <w:pPr>
        <w:pStyle w:val="ListBullet"/>
        <w:spacing w:after="60"/>
        <w:ind w:left="340"/>
      </w:pPr>
      <w:r>
        <w:rPr>
          <w:rFonts w:ascii="Calibri" w:hAnsi="Calibri"/>
          <w:b w:val="0"/>
          <w:i w:val="0"/>
          <w:sz w:val="22"/>
        </w:rPr>
        <w:t>Sei dizer de cor: 10,5% agregado → 39,5% mediado pelo bairro → 6,1% líquido → 5,6% dentro da ocupação.</w:t>
      </w:r>
    </w:p>
    <w:p>
      <w:pPr>
        <w:pStyle w:val="ListBullet"/>
        <w:spacing w:after="60"/>
        <w:ind w:left="340"/>
      </w:pPr>
      <w:r>
        <w:rPr>
          <w:rFonts w:ascii="Calibri" w:hAnsi="Calibri"/>
          <w:b w:val="0"/>
          <w:i w:val="0"/>
          <w:sz w:val="22"/>
        </w:rPr>
        <w:t>Sei dizer de cor: OR 0,814 no acesso e 0,761 no topo 10%.</w:t>
      </w:r>
    </w:p>
    <w:p>
      <w:pPr>
        <w:pStyle w:val="ListBullet"/>
        <w:spacing w:after="60"/>
        <w:ind w:left="340"/>
      </w:pPr>
      <w:r>
        <w:rPr>
          <w:rFonts w:ascii="Calibri" w:hAnsi="Calibri"/>
          <w:b w:val="0"/>
          <w:i w:val="0"/>
          <w:sz w:val="22"/>
        </w:rPr>
        <w:t>Sei dizer de cor: ICC 0,353 — 35% da variância é entre bairros.</w:t>
      </w:r>
    </w:p>
    <w:p>
      <w:pPr>
        <w:pStyle w:val="ListBullet"/>
        <w:spacing w:after="60"/>
        <w:ind w:left="340"/>
      </w:pPr>
      <w:r>
        <w:rPr>
          <w:rFonts w:ascii="Calibri" w:hAnsi="Calibri"/>
          <w:b w:val="0"/>
          <w:i w:val="0"/>
          <w:sz w:val="22"/>
        </w:rPr>
        <w:t>Sei explicar bad control sem consultar anotação.</w:t>
      </w:r>
    </w:p>
    <w:p>
      <w:pPr>
        <w:pStyle w:val="ListBullet"/>
        <w:spacing w:after="60"/>
        <w:ind w:left="340"/>
      </w:pPr>
      <w:r>
        <w:rPr>
          <w:rFonts w:ascii="Calibri" w:hAnsi="Calibri"/>
          <w:b w:val="0"/>
          <w:i w:val="0"/>
          <w:sz w:val="22"/>
        </w:rPr>
        <w:t>Sei explicar por que quantil condicional e incondicional não se contradizem.</w:t>
      </w:r>
    </w:p>
    <w:p>
      <w:pPr>
        <w:pStyle w:val="ListBullet"/>
        <w:spacing w:after="60"/>
        <w:ind w:left="340"/>
      </w:pPr>
      <w:r>
        <w:rPr>
          <w:rFonts w:ascii="Calibri" w:hAnsi="Calibri"/>
          <w:b w:val="0"/>
          <w:i w:val="0"/>
          <w:sz w:val="22"/>
        </w:rPr>
        <w:t>Sei dizer o que faria diferente com dado longitudinal (RAIS identificada).</w:t>
      </w:r>
    </w:p>
    <w:p>
      <w:pPr>
        <w:pStyle w:val="ListBullet"/>
        <w:spacing w:after="60"/>
        <w:ind w:left="340"/>
      </w:pPr>
      <w:r>
        <w:rPr>
          <w:rFonts w:ascii="Calibri" w:hAnsi="Calibri"/>
          <w:b w:val="0"/>
          <w:i w:val="0"/>
          <w:sz w:val="22"/>
        </w:rPr>
        <w:t>Não usei a palavra “causa” uma única vez.</w:t>
      </w:r>
    </w:p>
    <w:p>
      <w:pPr>
        <w:spacing w:before="0" w:after="240"/>
        <w:jc w:val="both"/>
      </w:pPr>
    </w:p>
    <w:p>
      <w:pPr>
        <w:spacing w:before="0" w:after="120"/>
        <w:jc w:val="both"/>
      </w:pPr>
      <w:r>
        <w:rPr>
          <w:rFonts w:ascii="Calibri" w:hAnsi="Calibri"/>
          <w:b w:val="0"/>
          <w:i/>
          <w:color w:val="616161"/>
          <w:sz w:val="18"/>
        </w:rPr>
        <w:t>Guia gerado automaticamente por tcc/scripts/gerar_guia_estudo.py a partir dos csv de outputs/tables/. Se alguma análise for reexecutada, rode o gerador de novo para que os números acompanhem.</w:t>
      </w:r>
    </w:p>
    <w:sectPr w:rsidR="00FC693F" w:rsidRPr="0006063C" w:rsidSect="00034616">
      <w:footerReference w:type="default" r:id="rId16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616161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