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0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0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0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49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162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6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348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4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pPr>
        <w:pStyle w:val="Heading2"/>
      </w:pPr>
      <w:r>
        <w:rPr>
          <w:rFonts w:ascii="Calibri" w:hAnsi="Calibri"/>
          <w:color w:val="1F3864"/>
        </w:rPr>
        <w:t>4.6  O que o agregado esconde: cor, setor e idade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Pretos × pardos (mesmo perfil e bairro): salário 7,4% × 5,8%; acesso OR 0,785 × 0,820; top 10% OR 0,725 × 0,768. A distância cresce no topo (QR, 9º decil: 10,0% × 8,0%). Leitura: compatível com colorismo (discriminação graduada pela tonalidade da pele, Telles 2004); 'negro' segue como categoria da política, porque os dois grupos estão abaixo dos brancos em todas as medidas.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Setor: a porta é igualmente desigual (acesso OR 0,783 no privado × 0,786 no público); o teto não (top 10% 0,685 × 0,843; salário 7,2% × 4,6%).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Idade: 1,7% (14–29) a 14,7% (65+). Pergunta provável: 'é efeito de geração ou de ciclo de vida?' — resposta: dado transversal não separa; ciclo de vida é compatível com o teto de vidro, geração com melhora entre gerações; 65+ é grupo selecionado (só quem ainda trabalha).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Teto de vidro dentro de cada UF: OR 0,762 — não decorre da composição regional dos salários. Peso amostral (V1028), no logit com efeito fixo de estado: OR do acesso 0,820 → 0,808. WeMix (pacote R de multinível ponderado): inviável com 41 mil UPAs.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significante: 0,0009 log-ponto por ano. Mas o estudo de evento mostra que não é um ritmo: a penalidade oscilou sem tendência até 2019, caiu em 2020 (7,0% → 5,9%, com efeito fixo de bairro) e não voltou ao nível anterior (5,2% em 2025) — um degrau, não uma rampa a extrapolar.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E a quebra de 2020? A pandemia não contamina a série?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Testado com um estudo de evento (base 2019, efeito fixo de bairro, erro por UPA). A penalidade caiu de 7,0% para 5,9% em 2020 (1,0 log-ponto acima da tendência, p = 0,004) e não voltou (5,2% em 2025). Não é seleção: a ocupação dos negros caiu só 0,26 p.p. a mais em 2020, dentro da tendência, e cresceu mais que a dos brancos desde 2022. Não é a entrevista por telefone: persiste após a volta da coleta presencial. Sem grupo de controle, não se identifica a causa; os resultados agrupados de 2016–2025 são uma média de antes e depois do degrau.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