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Edilson José Rodrigues²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Orientador. MBA USP/Esalq.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ativa), integrando econometria multinível, decomposições do gap e aprendizado de máquina interpretável. Os resultados preliminares indicam que a discriminação opera em camadas: uma barreira de acesso a ocupações qualificadas (GLMM logístico, OR=0,693), uma penalidade salarial residual e um teto de vidro que se agrava no topo da distribuição (OR de acesso ao decil superior = 0,457). Mais de metade do diferencial salarial é mediada pelo contexto de moradia (UPA); a decomposição de Oaxaca-Blinder atribui 83,8% do gap a diferenças de dotações (sobretudo de ocupação) e 16,2% à parcela não explicada, enquanto a penalidade recai de forma agravada sobre a mulher negra (penalidade interseccional de +9,5 p.p.).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decomposição de Oaxaca-Blinder; interseccionalidade.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Esse hiato convive com um quadro recente de avanço social com desigualdade persistente: a Pesquisa de Orçamentos Familiares (POF) do IBGE registra melhora ampla na qualidade de vida entre 2008 e 2018 (queda de ~30% no Índice de Perda de Qualidade de Vida), mas sem fechar o gap racial (chefes pretos/pardos 0,183 vs. brancos 0,122) nem o territorial (Norte 0,223 / Nordeste 0,207 vs. Sul 0,114; IBGE, POF 2017–2018). No rendimento, o Gini domiciliar per capita voltou a subir em 2025 (0,491, ante 0,487 em 2024), puxado pelo topo (IBGE/PNAD Contínua, 2025). É esse padrão — progresso agregado que não dissolve a barreira racial — que este trabalho disseca no mercado de trabalho.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barreiras na conversão de credenciais em ocupações qualificadas (Pager, 2007).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quatro métodos complementares — modelos lineares hierárquicos (HLM), decomposição de Oaxaca-Blinder, regressão quantílica com RIF e modelos logísticos multiníveis (GLMM) —, validados por aprendizado de máquina com valores SHAP.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distinguindo a parcela de composição da parcela de discriminação e traduzindo o diagnóstico em implicações de política focadas no acesso a ocupações qualificadas.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para o logaritmo do rendimento, com efeitos aleatórios de UPA e UF, decompondo o gap bruto em mediação contextual e penalidade residual (Raudenbush; Bryk, 2002). O acesso a ocupações qualificadas e ao topo da distribuição de renda foi modelado por GLMM logístico (lme4::glmer, R), com efeito aleatório de UPA. A robustez dos achados foi avaliada por E-values (VanderWeele; Ding, 2017).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2001) e XGBoost (Chen; Guestrin, 2016) foram ajustados para prever o rendimento, com interpretação por valores SHAP (Lundberg; Lee, 2017), quantificando a contribuição de cada variável e suas interações de forma não-paramétrica — uma camada de triangulação e robustez frente aos modelos econométricos.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Sensibilidade e interseccionalidade</w:t>
      </w:r>
    </w:p>
    <w:p>
      <w:pPr>
        <w:ind w:firstLine="709"/>
        <w:jc w:val="both"/>
      </w:pPr>
      <w:r>
        <w:t>A robustez do resíduo racial foi avaliada por E-values (VanderWeele; Ding, 2017), que quantificam quanto um confundidor não-observado precisaria pesar para anular o efeito. A decomposição interseccional (raça × gênero) formaliza a penalidade específica da combinação dos eixos (Crenshaw, 1989), distinguindo-a da soma dos efeitos isolados.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ind w:firstLine="709"/>
        <w:jc w:val="both"/>
      </w:pPr>
      <w:r>
        <w:t>Os resultados preliminares sustentam uma tese central: a desigualdade racial no mercado de trabalho brasileiro não é um evento pontual de contratação, mas um SISTEMA DE BARREIRAS EM CAMADAS — acesso, remuneração e redes — ancorado no território e geograficamente heterogêneo, que persiste mesmo quando se controla a escolaridade e mesmo dentro do Estado. As subseções a seguir percorrem esse sistema: partem da falha da explicação meritocrática, isolam as três camadas que a substituem, demonstram seu caráter sistêmico e, por fim, traduzem o diagnóstico em prescrição.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 falha da explicação meritocrática</w:t>
      </w:r>
    </w:p>
    <w:p>
      <w:pPr>
        <w:ind w:firstLine="709"/>
        <w:jc w:val="both"/>
      </w:pPr>
      <w:r>
        <w:t>Se o rendimento fosse função apenas do capital humano, controlar escolaridade, experiência e jornada deveria dissolver o gap racial — o que não ocorre. A decomposição de Oaxaca-Blinder atribui cerca de 84% do diferencial a diferenças de dotações e apenas 16% a retornos diferenciais. O ponto decisivo, porém, está na COMPOSIÇÃO dessas dotações (Figura 1): os fatores que mais explicam o gap não são educacionais, mas CONTEXTUAIS e OCUPACIONAIS — a proporção de negros na UPA e o acesso a grupos ocupacionais de prestígio. As dotações não são, portanto, mérito neutro: são o produto das barreiras que as subseções seguintes isolam. O capital humano explica pouco; o que importa é onde se nasce e a que ocupações se tem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6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por_varia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Decomposição de Oaxaca-Blinder por variável: o gap vem sobretudo do contexto (proporção de negros na UPA) e da ocupação — não da escolaridade.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1 — A barreira de acesso e o teto de vidro</w:t>
      </w:r>
    </w:p>
    <w:p>
      <w:pPr>
        <w:ind w:firstLine="709"/>
        <w:jc w:val="both"/>
      </w:pPr>
      <w:r>
        <w:t>A primeira camada é a exclusão da PORTA DE ENTRADA. O GLMM logístico multinível estima que um trabalhador negro idêntico a um branco tem cerca de 31% menos chance de ocupar um cargo qualificado (OR=0,693; −4,73 p.p.). A barreira não é uniforme ao longo da hierarquia: ela se agrava no topo (Figura 2) — o odds ratio de acesso cai de 0,540 no quintil superior de renda para 0,457 no decil superior. É um teto de vidro de ACESSO: quanto mais valiosa a posição, mais opaco o filtro racial. O elevado ICC de UPA (21,6%) já antecipa que essa barreira tem raiz territorial — o fio que conecta as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87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glassceil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GLMM — odds ratios de acesso por desfecho: o gradiente decrescente rumo ao topo da renda caracteriza o teto de vidro de acesso (OR &lt; 1 = barreira).</w:t>
      </w:r>
    </w:p>
    <w:p>
      <w:pPr>
        <w:ind w:firstLine="709"/>
        <w:jc w:val="both"/>
      </w:pPr>
      <w:r>
        <w:t>Uma leitura interseccional (quatro grupos raça×gênero, referência = homem branco) revela uma inversão. No ACESSO à categoria, a mulher negra é alçada (OR=1,33, acima do homem branco, por profissões feminizadas em CBO 1–4) e o mais penalizado é o homem negro (OR=0,65); mas no TOPO da renda o quadro inverte e a mulher negra torna-se a MAIS excluída de todos (OR=0,34 no decil superior, abaixo da mulher branca e do homem negro). A interação é sub-aditiva, mas o teto de vidro recai com força máxima sobre a mulher negra (Figura 2b).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27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2b. Interseccionalidade raça×gênero: a mulher negra é alçada no acesso à categoria, mas a mais excluída no topo da renda (OR vs. homem branco).</w:t>
      </w:r>
    </w:p>
    <w:p>
      <w:pPr>
        <w:ind w:firstLine="709"/>
        <w:jc w:val="both"/>
      </w:pPr>
      <w:r>
        <w:t>Um indicador distribucional reforça o teto de vidro. O Gini da renda do trabalho é MAIOR entre brancos (0,485) do que entre negros (0,449) — em todos os anos da série. Isso não é equidade entre negros: é CONFINAMENTO AO PISO (renda homogeneamente baixa), o reverso distribucional da barreira de acesso ao topo. Quem é barrado do topo achata-se na base. Cabe a ressalva de que este Gini refere-se ao rendimento do TRABALHO entre ocupados — conceito distinto do Gini domiciliar per capita do IBGE (Figura 2c).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647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ni_rac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6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2c. Gini intra-raça (renda do trabalho, ponderado): brancos têm maior desigualdade interna; negros, comprimidos no piso — o reverso do teto de vidro, não equidade.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2 — O território como eixo da desigualdade</w:t>
      </w:r>
    </w:p>
    <w:p>
      <w:pPr>
        <w:ind w:firstLine="709"/>
        <w:jc w:val="both"/>
      </w:pPr>
      <w:r>
        <w:t>Por que as dotações são desiguais? A segunda camada responde: em parte, pelo LUGAR. No modelo hierárquico, mais da metade do gap salarial é mediada pelo contexto de moradia (UPA) — um achado robusto de mediação. A raça opera, em medida relevante, ATRAVÉS do território: a segregação residencial histórica converte-se em segregação de renda atual. Ressalva metodológica: a renda média da UPA é preditor parcialmente endógeno do rendimento individual (problema do reflexo, Manski 1993), pois agrega o próprio indivíduo; por isso a interpretamos como evidência de mediação territorial, e não como 'determinante' causal isolado. É esse eixo territorial que dá unidade às demais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3. Importância SHAP (XGBoost, R²≈0,62): o contexto territorial (renda média da UPA) está entre os preditores de maior peso, sinalizando o eixo territorial da desigualdade — interpretado como mediação, não como determinante causal isolado.</w:t>
      </w:r>
    </w:p>
    <w:p>
      <w:pPr>
        <w:ind w:firstLine="709"/>
        <w:jc w:val="both"/>
      </w:pPr>
      <w:r>
        <w:t>Esse eixo territorial encontra corroboração externa no Índice de Progresso Social (IPS) municipal (Imazon e parceiros, 2026): as regiões de menor progresso social (Norte e Nordeste) coincidem com as de maior penalidade racial em nossos modelos. Ressalva metodológica: a integração fina com o proxy de bairro (UPA) é inviável — a PNAD não divulga o município e o IPS é municipal, mais agregado que a UPA —, de modo que o IPS entra como evidência convergente do caráter territorial, não como fonte de dados integrada.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3 — A penalidade interseccional</w:t>
      </w:r>
    </w:p>
    <w:p>
      <w:pPr>
        <w:ind w:firstLine="709"/>
        <w:jc w:val="both"/>
      </w:pPr>
      <w:r>
        <w:t>As duas primeiras camadas — acesso e território — combinam-se de forma agravada na interseção de raça e gênero. A decomposição interseccional mostra que a Mulher Negra acumula a maior desvantagem (gap de 96,4% vs. o Homem Branco) e, além disso, uma penalidade EXTRA de 9,5 pontos percentuais que não se reduz à soma das penalidades de raça e de gênero isoladas — a marca da interseccionalidade (Crenshaw, 1989). As camadas reforçam-se mutuamente: a barreira de acesso e o eixo territorial pesam de modo desigual sobre os diferentes grupos.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946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upo_rg_intersec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94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4. Decomposição interseccional (raça × gênero): gap de renda vs. o Homem Branco; a Mulher Negra acumula as duas penalidades, com um resíduo interseccional próprio.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Limitações e escopo de validade</w:t>
      </w:r>
    </w:p>
    <w:p>
      <w:pPr>
        <w:ind w:firstLine="709"/>
        <w:jc w:val="both"/>
      </w:pPr>
      <w:r>
        <w:t>Natureza inferencial vs. preditiva. Os modelos HLM, Oaxaca-Blinder, regressão quantílica e correção de Heckman produzem estimativas de ASSOCIAÇÃO CONDICIONAL — o diferencial racial que persiste sob controle de observáveis —, e não prova causal contrafactual. O XGBoost e os valores SHAP têm finalidade PREDITIVA e interpretativa: medem a contribuição de cada variável para a previsão do rendimento, não o efeito causal de manipulá-la. A linguagem causal foi deliberadamente evitada.</w:t>
      </w:r>
    </w:p>
    <w:p>
      <w:pPr>
        <w:ind w:firstLine="709"/>
        <w:jc w:val="both"/>
      </w:pPr>
      <w:r>
        <w:t>Cobertura da escolaridade. A escolaridade detalhada está registrada para cerca de 31% da PEA no painel público; os níveis entram como dummies de conclusão acompanhadas de um indicador explícito de não-registro (educ_missing), de modo que a categoria-base não confunda baixa escolaridade com dado ausente. O coeficiente racial é estável a essa especificação (variação inferior a 1%).</w:t>
      </w:r>
    </w:p>
    <w:p>
      <w:pPr>
        <w:ind w:firstLine="709"/>
        <w:jc w:val="both"/>
      </w:pPr>
      <w:r>
        <w:t>Especificação da decomposição de Oaxaca-Blinder. A repartição entre composição e discriminação depende de quais controles se tratam como dotações. Adota-se a especificação de acesso (ocupação e contexto como dotações; 83,8% de composição), coerente com a leitura de que a discriminação age sobretudo no acesso às ocupações — medido diretamente pelo GLMM. Como alerta Oaxaca e Ransom (1999), tratar a ocupação como dotação tende a subestimar a discriminação total, já que a segregação ocupacional é, ela própria, discriminatória; daí a complementaridade entre os métodos.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Tomados em conjunto, os resultados parciais convergem para a tese central: a desigualdade racial no trabalho brasileiro é um SISTEMA DE BARREIRAS EM CAMADAS — acesso, remuneração e interseccionalidade — com forte mediação do TERRITÓRIO (o contexto de moradia responde por mais da metade do gap). O gap é majoritariamente composição (Oaxaca: 83,8%), mas a composição é produto da discriminação no acesso às ocupações (GLMM: OR≈0,705) e convive com discriminação salarial residual, maior na base da distribuição (sticky floor). A consequência prescritiva é direta: políticas unidimensionais são insuficientes; a intervenção deve ser multidimensional e centrada no acesso a ocupações qualificadas. As próximas etapas incluem o refinamento das análises de robustez e a consolidação das recomendações.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CRENSHAW, K. Demarginalizing the intersection of race and sex. University of Chicago Legal Forum, v. 1989, n. 1, p. 139-167, 1989.</w:t>
      </w:r>
    </w:p>
    <w:p>
      <w:pPr>
        <w:spacing w:after="120" w:line="240" w:lineRule="auto"/>
        <w:jc w:val="both"/>
      </w:pPr>
      <w:r>
        <w:rPr>
          <w:sz w:val="22"/>
        </w:rPr>
        <w:t>FIRPO, S.; FORTIN, N. M.; LEMIEUX, T. Decomposing wage distributions using recentered influence function regressions. Econometrics, v. 6, n. 2, p. 28, 2018.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PNAD Contínua: Rendimento de Todas as Fontes 2025. Rio de Janeiro: IBGE, 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de Orçamentos Familiares 2017-2018: análise da qualidade de vida. Rio de Janeiro: IBGE, 2019.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L.; RANSOM, M. R. Identification in detailed wage decompositions. Review of Economics and Statistics, v. 81, n. 1, p. 154-157, 1999.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VANDERWEELE, T. J.; DING, P. Sensitivity analysis in observational research: introducing the E-value. Annals of Internal Medicine, v. 167, n. 4, p. 268-274, 2017.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Declaração de uso de inteligência artificial</w:t>
      </w:r>
    </w:p>
    <w:p>
      <w:pPr>
        <w:ind w:firstLine="709"/>
        <w:jc w:val="both"/>
      </w:pPr>
      <w:r>
        <w:t>Na elaboração deste trabalho foram utilizadas ferramentas de inteligência artificial (Claude Code, da Anthropic) como apoio à implementação e depuração de código (Python e R), à geração de figuras e tabelas e à formatação dos documentos. A concepção da pesquisa, a escolha das metodologias, a interpretação dos resultados e a redação final são de responsabilidade do autor, que revisou, validou e responde por todo o conteúdo.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